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2B2FF" w14:textId="77777777" w:rsidR="00497AA7" w:rsidRDefault="00497AA7" w:rsidP="008A3769">
      <w:pPr>
        <w:ind w:left="0"/>
        <w:jc w:val="both"/>
        <w:rPr>
          <w:szCs w:val="20"/>
          <w:lang w:val="de-CH"/>
        </w:rPr>
      </w:pPr>
    </w:p>
    <w:p w14:paraId="78B2B300" w14:textId="77777777" w:rsidR="00C46A9A" w:rsidRPr="008A3769" w:rsidRDefault="00C46A9A" w:rsidP="00C46A9A">
      <w:pPr>
        <w:shd w:val="clear" w:color="auto" w:fill="8DB3E2" w:themeFill="text2" w:themeFillTint="66"/>
        <w:spacing w:before="120" w:after="120"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Lista de </w:t>
      </w:r>
      <w:r w:rsidR="006B0C5E">
        <w:rPr>
          <w:b/>
          <w:sz w:val="28"/>
          <w:szCs w:val="28"/>
        </w:rPr>
        <w:t xml:space="preserve">chequeo </w:t>
      </w:r>
      <w:r>
        <w:rPr>
          <w:b/>
          <w:sz w:val="28"/>
          <w:szCs w:val="28"/>
        </w:rPr>
        <w:t>para evaluar el indicador de políticas de género de la COSUDE en el sistema SAP</w:t>
      </w:r>
    </w:p>
    <w:p w14:paraId="78B2B301" w14:textId="77777777" w:rsidR="00C46A9A" w:rsidRPr="00D05DF9" w:rsidRDefault="00C46A9A" w:rsidP="00C46A9A">
      <w:pPr>
        <w:spacing w:before="120" w:after="120"/>
        <w:ind w:left="0"/>
        <w:jc w:val="left"/>
        <w:rPr>
          <w:sz w:val="21"/>
          <w:szCs w:val="21"/>
          <w:lang w:val="es-ES_tradnl"/>
        </w:rPr>
      </w:pPr>
    </w:p>
    <w:p w14:paraId="78B2B302" w14:textId="77777777" w:rsidR="00C46A9A" w:rsidRPr="006B4479" w:rsidRDefault="00C46A9A" w:rsidP="00C46A9A">
      <w:pPr>
        <w:spacing w:before="120" w:after="120"/>
        <w:ind w:left="0"/>
        <w:jc w:val="both"/>
        <w:rPr>
          <w:rFonts w:cs="Arial"/>
          <w:sz w:val="21"/>
          <w:szCs w:val="21"/>
        </w:rPr>
      </w:pPr>
      <w:r>
        <w:rPr>
          <w:sz w:val="21"/>
          <w:szCs w:val="21"/>
        </w:rPr>
        <w:t xml:space="preserve">El </w:t>
      </w:r>
      <w:r>
        <w:rPr>
          <w:b/>
          <w:sz w:val="21"/>
          <w:szCs w:val="21"/>
          <w:u w:val="single"/>
        </w:rPr>
        <w:t>indicador de políticas de género</w:t>
      </w:r>
      <w:r w:rsidRPr="003A4E0A">
        <w:rPr>
          <w:rStyle w:val="FootnoteReference"/>
          <w:sz w:val="21"/>
          <w:szCs w:val="21"/>
          <w:lang w:val="en-US"/>
        </w:rPr>
        <w:footnoteReference w:id="1"/>
      </w:r>
      <w:r>
        <w:rPr>
          <w:sz w:val="21"/>
          <w:szCs w:val="21"/>
        </w:rPr>
        <w:t xml:space="preserve"> es una herramienta para localizar y </w:t>
      </w:r>
      <w:r w:rsidR="00453BEF">
        <w:rPr>
          <w:sz w:val="21"/>
          <w:szCs w:val="21"/>
        </w:rPr>
        <w:t xml:space="preserve">evaluar </w:t>
      </w:r>
      <w:r>
        <w:rPr>
          <w:sz w:val="21"/>
          <w:szCs w:val="21"/>
        </w:rPr>
        <w:t xml:space="preserve">la integración de los recursos asignados a la igualdad de género. La lista de control define criterios mínimos para </w:t>
      </w:r>
      <w:r w:rsidR="00453BEF">
        <w:rPr>
          <w:sz w:val="21"/>
          <w:szCs w:val="21"/>
        </w:rPr>
        <w:t xml:space="preserve">validar </w:t>
      </w:r>
      <w:r>
        <w:rPr>
          <w:sz w:val="21"/>
          <w:szCs w:val="21"/>
        </w:rPr>
        <w:t xml:space="preserve">el indicador de políticas de género en la ficha de datos de SAP. La lista de control se debe presentar como anexo de toda nueva entrada y solicitud de crédito. </w:t>
      </w:r>
    </w:p>
    <w:p w14:paraId="78B2B303" w14:textId="77777777" w:rsidR="00C46A9A" w:rsidRPr="00F36756" w:rsidRDefault="00C46A9A" w:rsidP="00C46A9A">
      <w:pPr>
        <w:tabs>
          <w:tab w:val="left" w:pos="1843"/>
          <w:tab w:val="left" w:pos="4111"/>
        </w:tabs>
        <w:spacing w:before="120" w:after="120"/>
        <w:ind w:left="0"/>
        <w:jc w:val="both"/>
        <w:rPr>
          <w:rFonts w:cs="Arial"/>
          <w:sz w:val="21"/>
          <w:szCs w:val="21"/>
        </w:rPr>
      </w:pPr>
      <w:r>
        <w:rPr>
          <w:sz w:val="21"/>
          <w:szCs w:val="21"/>
        </w:rPr>
        <w:t>Valores disponibles:</w:t>
      </w:r>
      <w:r w:rsidR="00025995">
        <w:rPr>
          <w:b/>
          <w:sz w:val="21"/>
          <w:szCs w:val="21"/>
        </w:rPr>
        <w:t xml:space="preserve">    </w:t>
      </w:r>
      <w:r>
        <w:rPr>
          <w:sz w:val="21"/>
          <w:szCs w:val="21"/>
        </w:rPr>
        <w:t>PRINC - Principal</w:t>
      </w:r>
      <w:r>
        <w:rPr>
          <w:sz w:val="21"/>
          <w:szCs w:val="21"/>
        </w:rPr>
        <w:tab/>
        <w:t>SIGNI - Significativo</w:t>
      </w:r>
      <w:r>
        <w:rPr>
          <w:sz w:val="21"/>
          <w:szCs w:val="21"/>
        </w:rPr>
        <w:tab/>
        <w:t>NOT - No contemplado</w:t>
      </w:r>
    </w:p>
    <w:p w14:paraId="78B2B304" w14:textId="77777777" w:rsidR="00C46A9A" w:rsidRPr="00D05DF9" w:rsidRDefault="00C46A9A" w:rsidP="00C46A9A">
      <w:pPr>
        <w:tabs>
          <w:tab w:val="left" w:pos="1843"/>
        </w:tabs>
        <w:spacing w:before="120" w:after="120"/>
        <w:ind w:left="0"/>
        <w:jc w:val="both"/>
        <w:rPr>
          <w:rFonts w:cs="Arial"/>
          <w:b/>
          <w:sz w:val="14"/>
          <w:szCs w:val="14"/>
          <w:lang w:val="es-ES_tradnl"/>
        </w:rPr>
      </w:pPr>
    </w:p>
    <w:p w14:paraId="78B2B305" w14:textId="77777777" w:rsidR="00C46A9A" w:rsidRDefault="00C46A9A" w:rsidP="00C46A9A">
      <w:pPr>
        <w:spacing w:before="120" w:after="120"/>
        <w:ind w:left="0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Código de género a escala del sector</w:t>
      </w:r>
      <w:r>
        <w:rPr>
          <w:sz w:val="21"/>
          <w:szCs w:val="21"/>
        </w:rPr>
        <w:t>: Para los proyectos principales es importante también marcar los códigos de sector relativos a la igualdad de género, cuando corresponda. Hay dos códigos de género a escala del sector</w:t>
      </w:r>
      <w:r w:rsidR="00025995">
        <w:rPr>
          <w:sz w:val="21"/>
          <w:szCs w:val="21"/>
        </w:rPr>
        <w:t xml:space="preserve"> (</w:t>
      </w:r>
      <w:proofErr w:type="spellStart"/>
      <w:r w:rsidR="00025995">
        <w:rPr>
          <w:sz w:val="21"/>
          <w:szCs w:val="21"/>
        </w:rPr>
        <w:t>Gender</w:t>
      </w:r>
      <w:proofErr w:type="spellEnd"/>
      <w:r w:rsidR="00025995">
        <w:rPr>
          <w:sz w:val="21"/>
          <w:szCs w:val="21"/>
        </w:rPr>
        <w:t xml:space="preserve"> Sector Codes)</w:t>
      </w:r>
      <w:r>
        <w:rPr>
          <w:sz w:val="21"/>
          <w:szCs w:val="21"/>
        </w:rPr>
        <w:t xml:space="preserve">: </w:t>
      </w:r>
    </w:p>
    <w:p w14:paraId="78B2B306" w14:textId="77777777" w:rsidR="00C46A9A" w:rsidRPr="00FB7FC3" w:rsidRDefault="00C46A9A" w:rsidP="00C46A9A">
      <w:pPr>
        <w:pStyle w:val="ListParagraph"/>
        <w:numPr>
          <w:ilvl w:val="0"/>
          <w:numId w:val="18"/>
        </w:numPr>
        <w:spacing w:before="120" w:after="120"/>
        <w:jc w:val="both"/>
        <w:rPr>
          <w:sz w:val="21"/>
          <w:szCs w:val="21"/>
        </w:rPr>
      </w:pPr>
      <w:r>
        <w:rPr>
          <w:sz w:val="21"/>
          <w:szCs w:val="21"/>
        </w:rPr>
        <w:t>Apoyo a organismos que promueven la igualdad de la mujer (20066), como las ONG femeninas o mecanismos nacionales relacionados con el género</w:t>
      </w:r>
    </w:p>
    <w:p w14:paraId="78B2B307" w14:textId="77777777" w:rsidR="00C46A9A" w:rsidRPr="00F36756" w:rsidRDefault="00C46A9A" w:rsidP="00C46A9A">
      <w:pPr>
        <w:pStyle w:val="ListParagraph"/>
        <w:numPr>
          <w:ilvl w:val="0"/>
          <w:numId w:val="18"/>
        </w:numPr>
        <w:spacing w:before="120" w:after="120"/>
        <w:ind w:left="782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Poner coto a la violencia contra mujeres y niñas (20067): todas las actividades que abordan la violencia sexual y de género, incluida la violencia contra hombres y niños y el trabajo con hombres en favor de la prevención de la violencia </w:t>
      </w:r>
    </w:p>
    <w:p w14:paraId="78B2B308" w14:textId="77777777" w:rsidR="00C46A9A" w:rsidRPr="00D05DF9" w:rsidRDefault="00C46A9A" w:rsidP="00C46A9A">
      <w:pPr>
        <w:spacing w:before="120" w:after="120"/>
        <w:ind w:left="0"/>
        <w:jc w:val="both"/>
        <w:rPr>
          <w:sz w:val="14"/>
          <w:szCs w:val="14"/>
          <w:lang w:val="es-ES_tradnl"/>
        </w:rPr>
      </w:pPr>
    </w:p>
    <w:p w14:paraId="78B2B309" w14:textId="77777777" w:rsidR="00C46A9A" w:rsidRDefault="00C46A9A" w:rsidP="00C46A9A">
      <w:pPr>
        <w:spacing w:before="120" w:after="120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La siguiente lista de </w:t>
      </w:r>
      <w:r w:rsidR="00453BEF">
        <w:rPr>
          <w:sz w:val="21"/>
          <w:szCs w:val="21"/>
        </w:rPr>
        <w:t xml:space="preserve">chequeo </w:t>
      </w:r>
      <w:r>
        <w:rPr>
          <w:sz w:val="21"/>
          <w:szCs w:val="21"/>
        </w:rPr>
        <w:t xml:space="preserve">describe los criterios definidos por los indicadores de políticas de género para proyectos calificados como </w:t>
      </w:r>
      <w:r>
        <w:rPr>
          <w:i/>
          <w:sz w:val="21"/>
          <w:szCs w:val="21"/>
        </w:rPr>
        <w:t>principal</w:t>
      </w:r>
      <w:r>
        <w:rPr>
          <w:sz w:val="21"/>
          <w:szCs w:val="21"/>
        </w:rPr>
        <w:t xml:space="preserve"> y </w:t>
      </w:r>
      <w:r>
        <w:rPr>
          <w:i/>
          <w:sz w:val="21"/>
          <w:szCs w:val="21"/>
        </w:rPr>
        <w:t>significativo</w:t>
      </w:r>
      <w:r>
        <w:rPr>
          <w:sz w:val="21"/>
          <w:szCs w:val="21"/>
        </w:rPr>
        <w:t xml:space="preserve"> (</w:t>
      </w:r>
      <w:r w:rsidR="00453BEF">
        <w:rPr>
          <w:sz w:val="21"/>
          <w:szCs w:val="21"/>
        </w:rPr>
        <w:t xml:space="preserve">ver </w:t>
      </w:r>
      <w:r>
        <w:rPr>
          <w:sz w:val="21"/>
          <w:szCs w:val="21"/>
        </w:rPr>
        <w:t>puntos 1 y 2</w:t>
      </w:r>
      <w:r w:rsidR="00453BEF">
        <w:rPr>
          <w:sz w:val="21"/>
          <w:szCs w:val="21"/>
        </w:rPr>
        <w:t xml:space="preserve"> y</w:t>
      </w:r>
      <w:r>
        <w:rPr>
          <w:sz w:val="21"/>
          <w:szCs w:val="21"/>
        </w:rPr>
        <w:t xml:space="preserve"> también las explicaciones en la p. 2). El punto 3 resume los criterios fijados para las contribuciones </w:t>
      </w:r>
      <w:r w:rsidR="00453BEF">
        <w:rPr>
          <w:sz w:val="21"/>
          <w:szCs w:val="21"/>
        </w:rPr>
        <w:t>generales</w:t>
      </w:r>
      <w:r>
        <w:rPr>
          <w:sz w:val="21"/>
          <w:szCs w:val="21"/>
        </w:rPr>
        <w:t xml:space="preserve"> a contrapartes multilaterales e institucionales. </w:t>
      </w:r>
    </w:p>
    <w:p w14:paraId="78B2B30A" w14:textId="77777777" w:rsidR="00C46A9A" w:rsidRPr="00D05DF9" w:rsidRDefault="00C46A9A" w:rsidP="00C46A9A">
      <w:pPr>
        <w:ind w:left="0"/>
        <w:jc w:val="left"/>
        <w:rPr>
          <w:sz w:val="14"/>
          <w:szCs w:val="14"/>
          <w:lang w:val="es-ES_tradnl"/>
        </w:rPr>
      </w:pPr>
    </w:p>
    <w:p w14:paraId="78B2B30B" w14:textId="77777777" w:rsidR="00C46A9A" w:rsidRPr="0049033B" w:rsidRDefault="00C46A9A" w:rsidP="00C46A9A">
      <w:pPr>
        <w:pStyle w:val="ListParagraph"/>
        <w:numPr>
          <w:ilvl w:val="0"/>
          <w:numId w:val="16"/>
        </w:numPr>
        <w:shd w:val="clear" w:color="auto" w:fill="C6D9F1" w:themeFill="text2" w:themeFillTint="33"/>
        <w:spacing w:before="120" w:after="120" w:line="276" w:lineRule="auto"/>
        <w:ind w:left="425" w:hanging="425"/>
        <w:jc w:val="both"/>
        <w:rPr>
          <w:rFonts w:cs="Arial"/>
          <w:sz w:val="24"/>
          <w:u w:val="single"/>
        </w:rPr>
      </w:pPr>
      <w:r>
        <w:rPr>
          <w:b/>
          <w:sz w:val="24"/>
          <w:u w:val="single"/>
        </w:rPr>
        <w:t xml:space="preserve">Criterios para una calificación como </w:t>
      </w:r>
      <w:r>
        <w:rPr>
          <w:b/>
          <w:i/>
          <w:sz w:val="24"/>
          <w:u w:val="single"/>
        </w:rPr>
        <w:t>principal</w:t>
      </w:r>
      <w:r>
        <w:rPr>
          <w:sz w:val="24"/>
          <w:u w:val="single"/>
        </w:rPr>
        <w:t xml:space="preserve"> </w:t>
      </w:r>
    </w:p>
    <w:p w14:paraId="78B2B30C" w14:textId="77777777" w:rsidR="00C46A9A" w:rsidRPr="00795325" w:rsidRDefault="00C46A9A" w:rsidP="00C46A9A">
      <w:pPr>
        <w:ind w:left="0"/>
        <w:jc w:val="both"/>
        <w:rPr>
          <w:rFonts w:cs="Arial"/>
          <w:sz w:val="14"/>
          <w:szCs w:val="14"/>
        </w:rPr>
      </w:pPr>
    </w:p>
    <w:p w14:paraId="78B2B30D" w14:textId="77777777" w:rsidR="00C46A9A" w:rsidRPr="00C323BF" w:rsidRDefault="00C46A9A" w:rsidP="00C46A9A">
      <w:pPr>
        <w:spacing w:after="120"/>
        <w:ind w:left="0"/>
        <w:jc w:val="both"/>
        <w:rPr>
          <w:rFonts w:cs="Arial"/>
          <w:sz w:val="21"/>
          <w:szCs w:val="21"/>
        </w:rPr>
      </w:pPr>
      <w:r w:rsidRPr="00C323BF">
        <w:rPr>
          <w:sz w:val="21"/>
          <w:szCs w:val="21"/>
        </w:rPr>
        <w:t xml:space="preserve">La igualdad de género es el </w:t>
      </w:r>
      <w:r w:rsidRPr="00C323BF">
        <w:rPr>
          <w:b/>
          <w:sz w:val="21"/>
          <w:szCs w:val="21"/>
        </w:rPr>
        <w:t>principal objetivo del proyecto</w:t>
      </w:r>
      <w:r w:rsidRPr="00C323BF">
        <w:rPr>
          <w:sz w:val="21"/>
          <w:szCs w:val="21"/>
        </w:rPr>
        <w:t>, su ejecución no habría sido posible sin este objetivo de igualdad de género.</w:t>
      </w:r>
    </w:p>
    <w:p w14:paraId="78B2B30E" w14:textId="77777777" w:rsidR="00C46A9A" w:rsidRDefault="00C46A9A" w:rsidP="00C46A9A">
      <w:pPr>
        <w:spacing w:after="120"/>
        <w:ind w:left="0"/>
        <w:jc w:val="both"/>
        <w:rPr>
          <w:rFonts w:cs="Arial"/>
          <w:sz w:val="21"/>
          <w:szCs w:val="21"/>
        </w:rPr>
      </w:pPr>
      <w:r w:rsidRPr="00C323BF">
        <w:rPr>
          <w:sz w:val="21"/>
          <w:szCs w:val="21"/>
        </w:rPr>
        <w:t xml:space="preserve">Se concibe el proyecto/programa con el </w:t>
      </w:r>
      <w:r w:rsidRPr="00C323BF">
        <w:rPr>
          <w:b/>
          <w:sz w:val="21"/>
          <w:szCs w:val="21"/>
        </w:rPr>
        <w:t>objetivo prioritario de promover la igualdad de género</w:t>
      </w:r>
      <w:r w:rsidRPr="00C323BF">
        <w:rPr>
          <w:sz w:val="21"/>
          <w:szCs w:val="21"/>
        </w:rPr>
        <w:t xml:space="preserve"> o el empoderamiento de mujeres y niñas, reducir la discriminación y las desigualdades debidas al género, o de satisfacer requisitos específicos de género (incluidos los de hombres y niños).</w:t>
      </w:r>
      <w:r>
        <w:rPr>
          <w:sz w:val="21"/>
          <w:szCs w:val="21"/>
        </w:rPr>
        <w:t xml:space="preserve"> </w:t>
      </w:r>
    </w:p>
    <w:p w14:paraId="78B2B30F" w14:textId="77777777" w:rsidR="00C46A9A" w:rsidRPr="00FB560B" w:rsidRDefault="00C46A9A" w:rsidP="00C46A9A">
      <w:pPr>
        <w:ind w:left="0"/>
        <w:jc w:val="both"/>
        <w:rPr>
          <w:rFonts w:cs="Arial"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28"/>
        <w:gridCol w:w="992"/>
      </w:tblGrid>
      <w:tr w:rsidR="00C46A9A" w:rsidRPr="00FB560B" w14:paraId="78B2B313" w14:textId="77777777" w:rsidTr="00E82E89">
        <w:trPr>
          <w:trHeight w:val="452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10" w14:textId="77777777" w:rsidR="00C46A9A" w:rsidRPr="00C323BF" w:rsidRDefault="00C46A9A" w:rsidP="00E82E89">
            <w:pPr>
              <w:jc w:val="both"/>
              <w:rPr>
                <w:rFonts w:cs="Arial"/>
                <w:b/>
                <w:sz w:val="21"/>
                <w:szCs w:val="21"/>
              </w:rPr>
            </w:pPr>
            <w:r w:rsidRPr="00C323BF">
              <w:rPr>
                <w:b/>
                <w:sz w:val="21"/>
                <w:szCs w:val="21"/>
                <w:u w:val="single"/>
              </w:rPr>
              <w:t xml:space="preserve">Criterios mínimos para calificar como </w:t>
            </w:r>
            <w:r w:rsidRPr="00C323BF">
              <w:rPr>
                <w:b/>
                <w:i/>
                <w:sz w:val="21"/>
                <w:szCs w:val="21"/>
                <w:u w:val="single"/>
              </w:rPr>
              <w:t>principal</w:t>
            </w:r>
            <w:r w:rsidRPr="00C323BF">
              <w:rPr>
                <w:b/>
                <w:sz w:val="21"/>
                <w:szCs w:val="21"/>
              </w:rPr>
              <w:t xml:space="preserve"> (deben cumplirse en su totalidad)</w:t>
            </w:r>
          </w:p>
          <w:p w14:paraId="78B2B311" w14:textId="77777777" w:rsidR="00C46A9A" w:rsidRPr="00C323BF" w:rsidRDefault="00C46A9A" w:rsidP="00E82E89">
            <w:pPr>
              <w:jc w:val="both"/>
              <w:rPr>
                <w:rFonts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12" w14:textId="77777777" w:rsidR="00C46A9A" w:rsidRPr="00FB560B" w:rsidRDefault="00C46A9A" w:rsidP="00E82E89">
            <w:pPr>
              <w:jc w:val="both"/>
              <w:rPr>
                <w:rFonts w:cs="Arial"/>
                <w:b/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  <w:u w:val="single"/>
              </w:rPr>
              <w:t>Sí</w:t>
            </w:r>
            <w:r>
              <w:rPr>
                <w:b/>
                <w:sz w:val="21"/>
                <w:szCs w:val="21"/>
              </w:rPr>
              <w:t xml:space="preserve"> </w:t>
            </w:r>
            <w:proofErr w:type="gramStart"/>
            <w:r>
              <w:rPr>
                <w:b/>
                <w:sz w:val="21"/>
                <w:szCs w:val="21"/>
              </w:rPr>
              <w:t>( √</w:t>
            </w:r>
            <w:proofErr w:type="gramEnd"/>
            <w:r>
              <w:rPr>
                <w:b/>
                <w:sz w:val="21"/>
                <w:szCs w:val="21"/>
              </w:rPr>
              <w:t xml:space="preserve"> )</w:t>
            </w:r>
          </w:p>
        </w:tc>
      </w:tr>
      <w:tr w:rsidR="00C46A9A" w:rsidRPr="00FB560B" w14:paraId="78B2B316" w14:textId="77777777" w:rsidTr="00E82E89">
        <w:trPr>
          <w:trHeight w:val="448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14" w14:textId="77777777" w:rsidR="00C46A9A" w:rsidRPr="00C323BF" w:rsidRDefault="00C46A9A" w:rsidP="00E82E89">
            <w:pPr>
              <w:pStyle w:val="ListParagraph"/>
              <w:numPr>
                <w:ilvl w:val="0"/>
                <w:numId w:val="12"/>
              </w:numPr>
              <w:ind w:right="0"/>
              <w:jc w:val="both"/>
              <w:rPr>
                <w:rFonts w:cs="Arial"/>
                <w:b/>
                <w:sz w:val="21"/>
                <w:szCs w:val="21"/>
                <w:u w:val="single"/>
              </w:rPr>
            </w:pPr>
            <w:r w:rsidRPr="00C323BF">
              <w:rPr>
                <w:b/>
                <w:sz w:val="21"/>
                <w:szCs w:val="21"/>
              </w:rPr>
              <w:t xml:space="preserve">La mayor ambición del proyecto/programa </w:t>
            </w:r>
            <w:r w:rsidRPr="00C323BF">
              <w:rPr>
                <w:sz w:val="21"/>
                <w:szCs w:val="21"/>
              </w:rPr>
              <w:t xml:space="preserve">es la de promover la igualdad de género o el empoderamiento de las mujeres.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15" w14:textId="77777777" w:rsidR="00C46A9A" w:rsidRPr="00FB560B" w:rsidRDefault="00C46A9A" w:rsidP="00E82E89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C46A9A" w:rsidRPr="00FB560B" w14:paraId="78B2B319" w14:textId="77777777" w:rsidTr="00E82E89">
        <w:trPr>
          <w:trHeight w:val="448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17" w14:textId="77777777" w:rsidR="00C46A9A" w:rsidRPr="00C323BF" w:rsidRDefault="00C46A9A" w:rsidP="00E82E89">
            <w:pPr>
              <w:pStyle w:val="ListParagraph"/>
              <w:numPr>
                <w:ilvl w:val="0"/>
                <w:numId w:val="12"/>
              </w:numPr>
              <w:ind w:right="0"/>
              <w:jc w:val="both"/>
              <w:rPr>
                <w:rFonts w:cs="Arial"/>
                <w:b/>
                <w:sz w:val="21"/>
                <w:szCs w:val="21"/>
              </w:rPr>
            </w:pPr>
            <w:r w:rsidRPr="00C323BF">
              <w:rPr>
                <w:sz w:val="21"/>
                <w:szCs w:val="21"/>
              </w:rPr>
              <w:t>Se efectuó un</w:t>
            </w:r>
            <w:r w:rsidRPr="00C323BF">
              <w:rPr>
                <w:b/>
                <w:sz w:val="21"/>
                <w:szCs w:val="21"/>
              </w:rPr>
              <w:t xml:space="preserve"> análisis de género </w:t>
            </w:r>
            <w:r w:rsidRPr="00C323BF">
              <w:rPr>
                <w:sz w:val="21"/>
                <w:szCs w:val="21"/>
              </w:rPr>
              <w:t xml:space="preserve">del proyecto/programa.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18" w14:textId="77777777" w:rsidR="00C46A9A" w:rsidRPr="00FB560B" w:rsidRDefault="00C46A9A" w:rsidP="00E82E89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C46A9A" w:rsidRPr="00FB560B" w14:paraId="78B2B31C" w14:textId="77777777" w:rsidTr="00E82E89">
        <w:trPr>
          <w:trHeight w:val="448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1A" w14:textId="77777777" w:rsidR="00C46A9A" w:rsidRPr="00C323BF" w:rsidRDefault="00C46A9A" w:rsidP="00453BEF">
            <w:pPr>
              <w:pStyle w:val="ListParagraph"/>
              <w:numPr>
                <w:ilvl w:val="0"/>
                <w:numId w:val="12"/>
              </w:numPr>
              <w:ind w:right="0"/>
              <w:jc w:val="both"/>
              <w:rPr>
                <w:rFonts w:cs="Arial"/>
                <w:b/>
                <w:sz w:val="21"/>
                <w:szCs w:val="21"/>
                <w:u w:val="single"/>
              </w:rPr>
            </w:pPr>
            <w:r w:rsidRPr="00C323BF">
              <w:rPr>
                <w:sz w:val="21"/>
                <w:szCs w:val="21"/>
              </w:rPr>
              <w:t>Se tomaron en cuenta los</w:t>
            </w:r>
            <w:r w:rsidRPr="00C323BF">
              <w:rPr>
                <w:b/>
                <w:sz w:val="21"/>
                <w:szCs w:val="21"/>
              </w:rPr>
              <w:t xml:space="preserve"> resultados de dicho análisis de género para la concepción </w:t>
            </w:r>
            <w:r w:rsidRPr="00C323BF">
              <w:rPr>
                <w:sz w:val="21"/>
                <w:szCs w:val="21"/>
              </w:rPr>
              <w:t>del</w:t>
            </w:r>
            <w:r w:rsidRPr="00C323BF">
              <w:rPr>
                <w:b/>
                <w:sz w:val="21"/>
                <w:szCs w:val="21"/>
              </w:rPr>
              <w:t xml:space="preserve"> </w:t>
            </w:r>
            <w:r w:rsidRPr="00C323BF">
              <w:rPr>
                <w:sz w:val="21"/>
                <w:szCs w:val="21"/>
              </w:rPr>
              <w:t xml:space="preserve">proyecto/programa y las intervenciones adoptan el enfoque de «no </w:t>
            </w:r>
            <w:r w:rsidR="00453BEF">
              <w:rPr>
                <w:sz w:val="21"/>
                <w:szCs w:val="21"/>
              </w:rPr>
              <w:t>hace</w:t>
            </w:r>
            <w:r w:rsidRPr="00C323BF">
              <w:rPr>
                <w:sz w:val="21"/>
                <w:szCs w:val="21"/>
              </w:rPr>
              <w:t>r daños».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1B" w14:textId="77777777" w:rsidR="00C46A9A" w:rsidRPr="00FB560B" w:rsidRDefault="00C46A9A" w:rsidP="00E82E89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C46A9A" w:rsidRPr="00FB560B" w14:paraId="78B2B31F" w14:textId="77777777" w:rsidTr="00E82E89">
        <w:trPr>
          <w:trHeight w:val="448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1D" w14:textId="77777777" w:rsidR="00C46A9A" w:rsidRPr="00C323BF" w:rsidRDefault="00C46A9A" w:rsidP="007B0070">
            <w:pPr>
              <w:pStyle w:val="ListParagraph"/>
              <w:numPr>
                <w:ilvl w:val="0"/>
                <w:numId w:val="12"/>
              </w:numPr>
              <w:ind w:right="0"/>
              <w:jc w:val="left"/>
              <w:rPr>
                <w:rFonts w:cs="Arial"/>
                <w:b/>
                <w:sz w:val="21"/>
                <w:szCs w:val="21"/>
              </w:rPr>
            </w:pPr>
            <w:r w:rsidRPr="00C323BF">
              <w:rPr>
                <w:b/>
                <w:sz w:val="21"/>
                <w:szCs w:val="21"/>
              </w:rPr>
              <w:t xml:space="preserve">El marco de resultados </w:t>
            </w:r>
            <w:r w:rsidRPr="00C323BF">
              <w:rPr>
                <w:sz w:val="21"/>
                <w:szCs w:val="21"/>
              </w:rPr>
              <w:t>mide el avance hacia los objetivos de igualdad de género formulados en el proyecto/programa mediante el uso de</w:t>
            </w:r>
            <w:r w:rsidRPr="00C323BF">
              <w:rPr>
                <w:b/>
                <w:sz w:val="21"/>
                <w:szCs w:val="21"/>
              </w:rPr>
              <w:t xml:space="preserve"> indicadores específicos de género para evaluar los resultados/el impacto</w:t>
            </w:r>
            <w:r w:rsidRPr="00C323BF">
              <w:rPr>
                <w:sz w:val="21"/>
                <w:szCs w:val="21"/>
              </w:rPr>
              <w:t xml:space="preserve"> </w:t>
            </w:r>
            <w:r w:rsidRPr="00C323BF">
              <w:rPr>
                <w:i/>
                <w:sz w:val="21"/>
                <w:szCs w:val="21"/>
              </w:rPr>
              <w:t>(teoría del cambio).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1E" w14:textId="77777777" w:rsidR="00C46A9A" w:rsidRPr="00FB560B" w:rsidRDefault="00C46A9A" w:rsidP="00E82E89">
            <w:pPr>
              <w:pStyle w:val="ListParagraph"/>
              <w:ind w:left="360" w:right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C46A9A" w:rsidRPr="00FB560B" w14:paraId="78B2B322" w14:textId="77777777" w:rsidTr="00E82E89">
        <w:trPr>
          <w:trHeight w:val="448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20" w14:textId="77777777" w:rsidR="00C46A9A" w:rsidRPr="00DE721C" w:rsidRDefault="00C46A9A" w:rsidP="00E82E89">
            <w:pPr>
              <w:pStyle w:val="ListParagraph"/>
              <w:numPr>
                <w:ilvl w:val="0"/>
                <w:numId w:val="12"/>
              </w:numPr>
              <w:ind w:right="0"/>
              <w:jc w:val="left"/>
              <w:rPr>
                <w:rFonts w:cs="Arial"/>
                <w:b/>
                <w:sz w:val="21"/>
                <w:szCs w:val="21"/>
              </w:rPr>
            </w:pPr>
            <w:r w:rsidRPr="00DE721C">
              <w:rPr>
                <w:b/>
                <w:sz w:val="21"/>
                <w:szCs w:val="21"/>
              </w:rPr>
              <w:lastRenderedPageBreak/>
              <w:t>Los datos e indicadores son desglosados por sexo</w:t>
            </w:r>
            <w:r w:rsidRPr="00162075">
              <w:rPr>
                <w:sz w:val="21"/>
                <w:szCs w:val="21"/>
              </w:rPr>
              <w:t>,</w:t>
            </w:r>
            <w:r w:rsidRPr="00DE721C">
              <w:rPr>
                <w:b/>
                <w:sz w:val="21"/>
                <w:szCs w:val="21"/>
              </w:rPr>
              <w:t xml:space="preserve"> </w:t>
            </w:r>
            <w:r w:rsidRPr="00DE721C">
              <w:rPr>
                <w:sz w:val="21"/>
                <w:szCs w:val="21"/>
              </w:rPr>
              <w:t>cuando corresponda.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21" w14:textId="77777777" w:rsidR="00C46A9A" w:rsidRPr="00FB560B" w:rsidRDefault="00C46A9A" w:rsidP="00E82E89">
            <w:pPr>
              <w:pStyle w:val="ListParagraph"/>
              <w:ind w:left="360" w:right="0"/>
              <w:jc w:val="left"/>
              <w:rPr>
                <w:rFonts w:cs="Arial"/>
                <w:b/>
                <w:sz w:val="21"/>
                <w:szCs w:val="21"/>
              </w:rPr>
            </w:pPr>
          </w:p>
        </w:tc>
      </w:tr>
      <w:tr w:rsidR="00C46A9A" w:rsidRPr="00FB560B" w14:paraId="78B2B325" w14:textId="77777777" w:rsidTr="00E82E89">
        <w:trPr>
          <w:trHeight w:val="448"/>
          <w:jc w:val="center"/>
        </w:trPr>
        <w:tc>
          <w:tcPr>
            <w:tcW w:w="7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23" w14:textId="77777777" w:rsidR="00C46A9A" w:rsidRPr="00DE721C" w:rsidRDefault="00D020A6" w:rsidP="00453BEF">
            <w:pPr>
              <w:pStyle w:val="ListParagraph"/>
              <w:numPr>
                <w:ilvl w:val="0"/>
                <w:numId w:val="12"/>
              </w:numPr>
              <w:ind w:right="0"/>
              <w:jc w:val="both"/>
              <w:rPr>
                <w:rFonts w:cs="Arial"/>
                <w:b/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C</w:t>
            </w:r>
            <w:r w:rsidR="00C46A9A" w:rsidRPr="00DE721C">
              <w:rPr>
                <w:sz w:val="21"/>
                <w:szCs w:val="21"/>
              </w:rPr>
              <w:t xml:space="preserve">ompromiso de </w:t>
            </w:r>
            <w:r w:rsidR="00453BEF">
              <w:rPr>
                <w:b/>
                <w:sz w:val="21"/>
                <w:szCs w:val="21"/>
              </w:rPr>
              <w:t>evalua</w:t>
            </w:r>
            <w:r w:rsidR="00C46A9A" w:rsidRPr="00DE721C">
              <w:rPr>
                <w:b/>
                <w:sz w:val="21"/>
                <w:szCs w:val="21"/>
              </w:rPr>
              <w:t>r y comunicar los resultados en materia de igualdad de género</w:t>
            </w:r>
            <w:r w:rsidR="00C46A9A" w:rsidRPr="00DE721C">
              <w:rPr>
                <w:sz w:val="21"/>
                <w:szCs w:val="21"/>
              </w:rPr>
              <w:t xml:space="preserve"> alcanzados en el marco del proyecto.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24" w14:textId="77777777" w:rsidR="00C46A9A" w:rsidRPr="00FB560B" w:rsidRDefault="00C46A9A" w:rsidP="00E82E89">
            <w:pPr>
              <w:pStyle w:val="ListParagraph"/>
              <w:ind w:left="360" w:right="0"/>
              <w:jc w:val="both"/>
              <w:rPr>
                <w:rFonts w:cs="Arial"/>
                <w:sz w:val="21"/>
                <w:szCs w:val="21"/>
              </w:rPr>
            </w:pPr>
          </w:p>
        </w:tc>
      </w:tr>
    </w:tbl>
    <w:p w14:paraId="78B2B326" w14:textId="77777777" w:rsidR="00C46A9A" w:rsidRPr="00D05DF9" w:rsidRDefault="00C46A9A" w:rsidP="00C46A9A">
      <w:pPr>
        <w:jc w:val="left"/>
        <w:rPr>
          <w:szCs w:val="20"/>
          <w:u w:val="single"/>
          <w:lang w:val="es-ES_tradnl"/>
        </w:rPr>
      </w:pPr>
    </w:p>
    <w:p w14:paraId="78B2B327" w14:textId="77777777" w:rsidR="00C46A9A" w:rsidRPr="00D05DF9" w:rsidRDefault="00C46A9A" w:rsidP="00C46A9A">
      <w:pPr>
        <w:jc w:val="left"/>
        <w:rPr>
          <w:sz w:val="14"/>
          <w:szCs w:val="14"/>
          <w:u w:val="single"/>
          <w:lang w:val="es-ES_tradnl"/>
        </w:rPr>
      </w:pPr>
    </w:p>
    <w:p w14:paraId="78B2B328" w14:textId="77777777" w:rsidR="00C46A9A" w:rsidRDefault="00C46A9A" w:rsidP="00C46A9A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  <w:u w:val="single"/>
        </w:rPr>
        <w:t>Comentarios</w:t>
      </w:r>
      <w:r w:rsidRPr="00E82E89">
        <w:rPr>
          <w:rFonts w:ascii="Arial" w:hAnsi="Arial"/>
          <w:iCs/>
          <w:sz w:val="22"/>
          <w:szCs w:val="22"/>
        </w:rPr>
        <w:t xml:space="preserve">: </w:t>
      </w:r>
      <w:r w:rsidR="00453BEF">
        <w:rPr>
          <w:rFonts w:ascii="Arial" w:hAnsi="Arial"/>
          <w:iCs/>
          <w:sz w:val="22"/>
          <w:szCs w:val="22"/>
        </w:rPr>
        <w:t>Por favor, a</w:t>
      </w:r>
      <w:r>
        <w:rPr>
          <w:rFonts w:ascii="Arial" w:hAnsi="Arial"/>
          <w:iCs/>
          <w:sz w:val="22"/>
          <w:szCs w:val="22"/>
        </w:rPr>
        <w:t xml:space="preserve">gregue aquí sus comentarios en relación con el puntaje o información pertinente acerca del análisis de género.   </w:t>
      </w:r>
    </w:p>
    <w:p w14:paraId="78B2B329" w14:textId="77777777" w:rsidR="00C46A9A" w:rsidRDefault="00C46A9A" w:rsidP="00C46A9A">
      <w:pPr>
        <w:pStyle w:val="Default"/>
        <w:rPr>
          <w:rFonts w:ascii="Arial" w:hAnsi="Arial" w:cs="Arial"/>
          <w:iCs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95"/>
      </w:tblGrid>
      <w:tr w:rsidR="00C46A9A" w14:paraId="78B2B330" w14:textId="77777777" w:rsidTr="00E82E89">
        <w:trPr>
          <w:trHeight w:val="415"/>
          <w:jc w:val="center"/>
        </w:trPr>
        <w:tc>
          <w:tcPr>
            <w:tcW w:w="8695" w:type="dxa"/>
          </w:tcPr>
          <w:p w14:paraId="78B2B32A" w14:textId="77777777" w:rsidR="00C46A9A" w:rsidRDefault="00C46A9A" w:rsidP="00E82E89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78B2B32B" w14:textId="77777777" w:rsidR="00382CCC" w:rsidRDefault="00382CCC" w:rsidP="00E82E89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78B2B32C" w14:textId="77777777" w:rsidR="00382CCC" w:rsidRDefault="00382CCC" w:rsidP="00E82E89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78B2B32D" w14:textId="77777777" w:rsidR="00382CCC" w:rsidRDefault="00382CCC" w:rsidP="00E82E89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78B2B32E" w14:textId="77777777" w:rsidR="00382CCC" w:rsidRDefault="00382CCC" w:rsidP="00E82E89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78B2B32F" w14:textId="77777777" w:rsidR="00C46A9A" w:rsidRDefault="00C46A9A" w:rsidP="00E82E89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</w:tc>
      </w:tr>
    </w:tbl>
    <w:p w14:paraId="78B2B331" w14:textId="77777777" w:rsidR="00C46A9A" w:rsidRDefault="00C46A9A" w:rsidP="00C46A9A">
      <w:pPr>
        <w:jc w:val="left"/>
        <w:rPr>
          <w:szCs w:val="20"/>
          <w:u w:val="single"/>
          <w:lang w:val="es-ES_tradnl"/>
        </w:rPr>
      </w:pPr>
    </w:p>
    <w:p w14:paraId="78B2B332" w14:textId="77777777" w:rsidR="00382CCC" w:rsidRPr="00D05DF9" w:rsidRDefault="00382CCC" w:rsidP="00C46A9A">
      <w:pPr>
        <w:jc w:val="left"/>
        <w:rPr>
          <w:szCs w:val="20"/>
          <w:u w:val="single"/>
          <w:lang w:val="es-ES_tradnl"/>
        </w:rPr>
      </w:pPr>
    </w:p>
    <w:p w14:paraId="78B2B333" w14:textId="77777777" w:rsidR="00C46A9A" w:rsidRPr="00D05DF9" w:rsidRDefault="00C46A9A" w:rsidP="00C46A9A">
      <w:pPr>
        <w:jc w:val="left"/>
        <w:rPr>
          <w:szCs w:val="20"/>
          <w:u w:val="single"/>
          <w:lang w:val="es-ES_tradnl"/>
        </w:rPr>
      </w:pPr>
    </w:p>
    <w:p w14:paraId="78B2B334" w14:textId="77777777" w:rsidR="00C46A9A" w:rsidRPr="008A3769" w:rsidRDefault="00C46A9A" w:rsidP="00C46A9A">
      <w:pPr>
        <w:pStyle w:val="ListParagraph"/>
        <w:numPr>
          <w:ilvl w:val="0"/>
          <w:numId w:val="16"/>
        </w:numPr>
        <w:shd w:val="clear" w:color="auto" w:fill="C6D9F1" w:themeFill="text2" w:themeFillTint="33"/>
        <w:ind w:left="426" w:hanging="426"/>
        <w:jc w:val="both"/>
        <w:rPr>
          <w:rFonts w:cs="Arial"/>
          <w:b/>
          <w:sz w:val="24"/>
        </w:rPr>
      </w:pPr>
      <w:r>
        <w:rPr>
          <w:b/>
          <w:sz w:val="24"/>
          <w:u w:val="single"/>
        </w:rPr>
        <w:t xml:space="preserve">Criterios para una calificación como </w:t>
      </w:r>
      <w:r>
        <w:rPr>
          <w:b/>
          <w:i/>
          <w:sz w:val="24"/>
          <w:u w:val="single"/>
        </w:rPr>
        <w:t>significativo</w:t>
      </w:r>
      <w:r>
        <w:rPr>
          <w:b/>
          <w:sz w:val="24"/>
        </w:rPr>
        <w:t xml:space="preserve"> </w:t>
      </w:r>
    </w:p>
    <w:p w14:paraId="78B2B335" w14:textId="77777777" w:rsidR="00C46A9A" w:rsidRDefault="00C46A9A" w:rsidP="00C46A9A">
      <w:pPr>
        <w:ind w:left="0"/>
        <w:jc w:val="both"/>
        <w:rPr>
          <w:rFonts w:cs="Arial"/>
          <w:sz w:val="21"/>
          <w:szCs w:val="21"/>
        </w:rPr>
      </w:pPr>
    </w:p>
    <w:p w14:paraId="78B2B336" w14:textId="77777777" w:rsidR="00C46A9A" w:rsidRPr="00D020A6" w:rsidRDefault="00C46A9A" w:rsidP="00C46A9A">
      <w:pPr>
        <w:spacing w:after="120"/>
        <w:ind w:left="0"/>
        <w:jc w:val="both"/>
        <w:rPr>
          <w:rFonts w:cs="Arial"/>
          <w:b/>
          <w:sz w:val="21"/>
          <w:szCs w:val="21"/>
        </w:rPr>
      </w:pPr>
      <w:r w:rsidRPr="00D020A6">
        <w:rPr>
          <w:sz w:val="21"/>
          <w:szCs w:val="21"/>
        </w:rPr>
        <w:t xml:space="preserve">La igualdad de género constituye un </w:t>
      </w:r>
      <w:r w:rsidRPr="00D020A6">
        <w:rPr>
          <w:b/>
          <w:sz w:val="21"/>
          <w:szCs w:val="21"/>
        </w:rPr>
        <w:t xml:space="preserve">objetivo importante y </w:t>
      </w:r>
      <w:proofErr w:type="gramStart"/>
      <w:r w:rsidRPr="00D020A6">
        <w:rPr>
          <w:b/>
          <w:sz w:val="21"/>
          <w:szCs w:val="21"/>
        </w:rPr>
        <w:t>deliberado</w:t>
      </w:r>
      <w:proofErr w:type="gramEnd"/>
      <w:r w:rsidRPr="00D020A6">
        <w:rPr>
          <w:b/>
          <w:sz w:val="21"/>
          <w:szCs w:val="21"/>
        </w:rPr>
        <w:t xml:space="preserve"> pero no es la razón principal</w:t>
      </w:r>
      <w:r w:rsidRPr="00D020A6">
        <w:rPr>
          <w:sz w:val="21"/>
          <w:szCs w:val="21"/>
        </w:rPr>
        <w:t xml:space="preserve"> para la realización del proyecto/programa.</w:t>
      </w:r>
      <w:r w:rsidRPr="00D020A6">
        <w:rPr>
          <w:b/>
          <w:sz w:val="21"/>
          <w:szCs w:val="21"/>
        </w:rPr>
        <w:t xml:space="preserve"> </w:t>
      </w:r>
      <w:r w:rsidRPr="00D020A6">
        <w:rPr>
          <w:sz w:val="21"/>
          <w:szCs w:val="21"/>
        </w:rPr>
        <w:t xml:space="preserve">La </w:t>
      </w:r>
      <w:r w:rsidRPr="00D020A6">
        <w:rPr>
          <w:b/>
          <w:sz w:val="21"/>
          <w:szCs w:val="21"/>
        </w:rPr>
        <w:t xml:space="preserve">igualdad de género debe ser un objetivo explícitamente descrito </w:t>
      </w:r>
      <w:r w:rsidRPr="00D020A6">
        <w:rPr>
          <w:sz w:val="21"/>
          <w:szCs w:val="21"/>
        </w:rPr>
        <w:t xml:space="preserve">en la documentación del proyecto/programa. No podrá tratarse de un objetivo supuesto o implícito. </w:t>
      </w:r>
    </w:p>
    <w:p w14:paraId="78B2B337" w14:textId="77777777" w:rsidR="00C46A9A" w:rsidRPr="00D020A6" w:rsidRDefault="00C46A9A" w:rsidP="00C46A9A">
      <w:pPr>
        <w:spacing w:after="120"/>
        <w:ind w:left="0"/>
        <w:jc w:val="both"/>
        <w:rPr>
          <w:rFonts w:cs="Arial"/>
          <w:sz w:val="21"/>
          <w:szCs w:val="21"/>
        </w:rPr>
      </w:pPr>
      <w:r w:rsidRPr="00D020A6">
        <w:rPr>
          <w:sz w:val="21"/>
          <w:szCs w:val="21"/>
        </w:rPr>
        <w:t xml:space="preserve">Además de otros objetivos, se concibe el proyecto/programa para que tenga un </w:t>
      </w:r>
      <w:r w:rsidRPr="00D020A6">
        <w:rPr>
          <w:b/>
          <w:sz w:val="21"/>
          <w:szCs w:val="21"/>
        </w:rPr>
        <w:t>impacto positivo en la promoción de la igualdad de género</w:t>
      </w:r>
      <w:r w:rsidRPr="00D020A6">
        <w:rPr>
          <w:sz w:val="21"/>
          <w:szCs w:val="21"/>
        </w:rPr>
        <w:t xml:space="preserve"> o el empoderamiento de mujeres y niñas, y para reducir la discriminación y las desigualdades debidas al género o satisfacer requisitos específicos de género (también en relación con hombres y niños).</w:t>
      </w:r>
    </w:p>
    <w:p w14:paraId="78B2B338" w14:textId="77777777" w:rsidR="00C46A9A" w:rsidRPr="00D020A6" w:rsidRDefault="00C46A9A" w:rsidP="00C46A9A">
      <w:pPr>
        <w:ind w:left="0"/>
        <w:jc w:val="both"/>
        <w:rPr>
          <w:rFonts w:cs="Arial"/>
          <w:b/>
          <w:sz w:val="21"/>
          <w:szCs w:val="21"/>
        </w:rPr>
      </w:pPr>
    </w:p>
    <w:tbl>
      <w:tblPr>
        <w:tblStyle w:val="TableGrid"/>
        <w:tblW w:w="8639" w:type="dxa"/>
        <w:jc w:val="center"/>
        <w:tblLook w:val="04A0" w:firstRow="1" w:lastRow="0" w:firstColumn="1" w:lastColumn="0" w:noHBand="0" w:noVBand="1"/>
      </w:tblPr>
      <w:tblGrid>
        <w:gridCol w:w="7930"/>
        <w:gridCol w:w="709"/>
      </w:tblGrid>
      <w:tr w:rsidR="00C46A9A" w:rsidRPr="00D020A6" w14:paraId="78B2B33B" w14:textId="77777777" w:rsidTr="00E82E89">
        <w:trPr>
          <w:trHeight w:val="540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39" w14:textId="77777777" w:rsidR="00C46A9A" w:rsidRPr="00D020A6" w:rsidRDefault="00C46A9A" w:rsidP="00E82E89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D020A6">
              <w:rPr>
                <w:b/>
                <w:sz w:val="21"/>
                <w:szCs w:val="21"/>
                <w:u w:val="single"/>
              </w:rPr>
              <w:t xml:space="preserve">Criterios mínimos para calificar como </w:t>
            </w:r>
            <w:r w:rsidRPr="00D020A6">
              <w:rPr>
                <w:b/>
                <w:i/>
                <w:sz w:val="21"/>
                <w:szCs w:val="21"/>
                <w:u w:val="single"/>
              </w:rPr>
              <w:t>significativo</w:t>
            </w:r>
            <w:r w:rsidRPr="00D020A6">
              <w:rPr>
                <w:b/>
                <w:sz w:val="21"/>
                <w:szCs w:val="21"/>
              </w:rPr>
              <w:t xml:space="preserve"> (deben cumplirse en su totalidad)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3A" w14:textId="77777777" w:rsidR="00C46A9A" w:rsidRPr="00D020A6" w:rsidRDefault="00C46A9A" w:rsidP="00E82E89">
            <w:pPr>
              <w:jc w:val="both"/>
              <w:rPr>
                <w:rFonts w:cs="Arial"/>
                <w:b/>
                <w:sz w:val="21"/>
                <w:szCs w:val="21"/>
                <w:u w:val="single"/>
              </w:rPr>
            </w:pPr>
            <w:r w:rsidRPr="00D020A6">
              <w:rPr>
                <w:b/>
                <w:sz w:val="21"/>
                <w:szCs w:val="21"/>
                <w:u w:val="single"/>
              </w:rPr>
              <w:t>Sí</w:t>
            </w:r>
            <w:r w:rsidRPr="00D020A6">
              <w:rPr>
                <w:b/>
                <w:sz w:val="21"/>
                <w:szCs w:val="21"/>
              </w:rPr>
              <w:t xml:space="preserve"> </w:t>
            </w:r>
            <w:proofErr w:type="gramStart"/>
            <w:r w:rsidRPr="00D020A6">
              <w:rPr>
                <w:b/>
                <w:sz w:val="21"/>
                <w:szCs w:val="21"/>
              </w:rPr>
              <w:t>( √</w:t>
            </w:r>
            <w:proofErr w:type="gramEnd"/>
            <w:r w:rsidRPr="00D020A6">
              <w:rPr>
                <w:b/>
                <w:sz w:val="21"/>
                <w:szCs w:val="21"/>
              </w:rPr>
              <w:t xml:space="preserve"> )</w:t>
            </w:r>
          </w:p>
        </w:tc>
      </w:tr>
      <w:tr w:rsidR="00D616E8" w:rsidRPr="00D020A6" w14:paraId="78B2B33E" w14:textId="77777777" w:rsidTr="00E82E89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3C" w14:textId="77777777" w:rsidR="00D616E8" w:rsidRPr="00D020A6" w:rsidRDefault="00D616E8" w:rsidP="00D616E8">
            <w:pPr>
              <w:pStyle w:val="ListParagraph"/>
              <w:numPr>
                <w:ilvl w:val="0"/>
                <w:numId w:val="14"/>
              </w:numPr>
              <w:ind w:right="0"/>
              <w:jc w:val="both"/>
              <w:rPr>
                <w:b/>
                <w:sz w:val="21"/>
                <w:szCs w:val="21"/>
              </w:rPr>
            </w:pPr>
            <w:r w:rsidRPr="00D020A6">
              <w:rPr>
                <w:sz w:val="21"/>
                <w:szCs w:val="21"/>
              </w:rPr>
              <w:t>Se efectuó un</w:t>
            </w:r>
            <w:r w:rsidRPr="00D020A6">
              <w:rPr>
                <w:b/>
                <w:sz w:val="21"/>
                <w:szCs w:val="21"/>
              </w:rPr>
              <w:t xml:space="preserve"> análisis de género </w:t>
            </w:r>
            <w:r w:rsidRPr="00D020A6">
              <w:rPr>
                <w:sz w:val="21"/>
                <w:szCs w:val="21"/>
              </w:rPr>
              <w:t xml:space="preserve">del proyecto/programa.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3D" w14:textId="6DD4C892" w:rsidR="00D616E8" w:rsidRPr="00D020A6" w:rsidRDefault="00D616E8" w:rsidP="00D616E8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  <w:r w:rsidRPr="007A79DF">
              <w:rPr>
                <w:b/>
                <w:sz w:val="21"/>
                <w:szCs w:val="21"/>
              </w:rPr>
              <w:t>√</w:t>
            </w:r>
          </w:p>
        </w:tc>
      </w:tr>
      <w:tr w:rsidR="00D616E8" w:rsidRPr="00D020A6" w14:paraId="78B2B341" w14:textId="77777777" w:rsidTr="00E82E89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3F" w14:textId="77777777" w:rsidR="00D616E8" w:rsidRPr="00D020A6" w:rsidRDefault="00D616E8" w:rsidP="00D616E8">
            <w:pPr>
              <w:pStyle w:val="ListParagraph"/>
              <w:numPr>
                <w:ilvl w:val="0"/>
                <w:numId w:val="14"/>
              </w:numPr>
              <w:ind w:right="0"/>
              <w:jc w:val="both"/>
              <w:rPr>
                <w:sz w:val="21"/>
                <w:szCs w:val="21"/>
              </w:rPr>
            </w:pPr>
            <w:r w:rsidRPr="00D020A6">
              <w:rPr>
                <w:sz w:val="21"/>
                <w:szCs w:val="21"/>
              </w:rPr>
              <w:t>Se tomaron en cuenta los</w:t>
            </w:r>
            <w:r w:rsidRPr="00D020A6">
              <w:rPr>
                <w:b/>
                <w:sz w:val="21"/>
                <w:szCs w:val="21"/>
              </w:rPr>
              <w:t xml:space="preserve"> resultados de dicho análisis de género para la concepción </w:t>
            </w:r>
            <w:r w:rsidRPr="00D020A6">
              <w:rPr>
                <w:sz w:val="21"/>
                <w:szCs w:val="21"/>
              </w:rPr>
              <w:t>del</w:t>
            </w:r>
            <w:r w:rsidRPr="00D020A6">
              <w:rPr>
                <w:b/>
                <w:sz w:val="21"/>
                <w:szCs w:val="21"/>
              </w:rPr>
              <w:t xml:space="preserve"> </w:t>
            </w:r>
            <w:r w:rsidRPr="00D020A6">
              <w:rPr>
                <w:sz w:val="21"/>
                <w:szCs w:val="21"/>
              </w:rPr>
              <w:t xml:space="preserve">proyecto/programa y las intervenciones adoptan el enfoque de «no ocasionar daños».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40" w14:textId="171F7CE2" w:rsidR="00D616E8" w:rsidRPr="00D020A6" w:rsidRDefault="00D616E8" w:rsidP="00D616E8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  <w:r w:rsidRPr="007A79DF">
              <w:rPr>
                <w:b/>
                <w:sz w:val="21"/>
                <w:szCs w:val="21"/>
              </w:rPr>
              <w:t>√</w:t>
            </w:r>
          </w:p>
        </w:tc>
      </w:tr>
      <w:tr w:rsidR="00D616E8" w:rsidRPr="00D05DF9" w14:paraId="78B2B344" w14:textId="77777777" w:rsidTr="00E82E89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42" w14:textId="77777777" w:rsidR="00D616E8" w:rsidRPr="00D020A6" w:rsidRDefault="00D616E8" w:rsidP="00D616E8">
            <w:pPr>
              <w:pStyle w:val="ListParagraph"/>
              <w:numPr>
                <w:ilvl w:val="0"/>
                <w:numId w:val="14"/>
              </w:numPr>
              <w:ind w:right="0"/>
              <w:jc w:val="both"/>
              <w:rPr>
                <w:b/>
                <w:sz w:val="21"/>
                <w:szCs w:val="21"/>
                <w:u w:val="single"/>
              </w:rPr>
            </w:pPr>
            <w:r w:rsidRPr="00D020A6">
              <w:rPr>
                <w:b/>
                <w:sz w:val="21"/>
                <w:szCs w:val="21"/>
              </w:rPr>
              <w:t xml:space="preserve">Existe al menos un objetivo explícito de promoción de la igualdad de género (resultados/impacto), con la aplicación de al menos un indicador específico de género </w:t>
            </w:r>
            <w:r w:rsidRPr="00D020A6">
              <w:rPr>
                <w:sz w:val="21"/>
                <w:szCs w:val="21"/>
              </w:rPr>
              <w:t>(o el firme compromiso de actuar en este sentido, si no se elaboró el marco de resultados en el momento de la definición del proyecto).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43" w14:textId="2E0696AF" w:rsidR="00D616E8" w:rsidRPr="00D020A6" w:rsidRDefault="00D616E8" w:rsidP="00D616E8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  <w:r w:rsidRPr="007A79DF">
              <w:rPr>
                <w:b/>
                <w:sz w:val="21"/>
                <w:szCs w:val="21"/>
              </w:rPr>
              <w:t>√</w:t>
            </w:r>
          </w:p>
        </w:tc>
      </w:tr>
      <w:tr w:rsidR="00D616E8" w14:paraId="78B2B347" w14:textId="77777777" w:rsidTr="00E82E89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45" w14:textId="77777777" w:rsidR="00D616E8" w:rsidRPr="00D020A6" w:rsidRDefault="00D616E8" w:rsidP="00D616E8">
            <w:pPr>
              <w:pStyle w:val="ListParagraph"/>
              <w:numPr>
                <w:ilvl w:val="0"/>
                <w:numId w:val="14"/>
              </w:numPr>
              <w:ind w:right="0"/>
              <w:jc w:val="both"/>
              <w:rPr>
                <w:b/>
                <w:sz w:val="21"/>
                <w:szCs w:val="21"/>
              </w:rPr>
            </w:pPr>
            <w:r w:rsidRPr="00D020A6">
              <w:rPr>
                <w:b/>
                <w:sz w:val="21"/>
                <w:szCs w:val="21"/>
              </w:rPr>
              <w:t xml:space="preserve">Los datos e indicadores son desglosados por sexo, </w:t>
            </w:r>
            <w:r w:rsidRPr="00D020A6">
              <w:rPr>
                <w:sz w:val="21"/>
                <w:szCs w:val="21"/>
              </w:rPr>
              <w:t>cuando corresponda.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46" w14:textId="4DCF9456" w:rsidR="00D616E8" w:rsidRPr="00FB560B" w:rsidRDefault="00D616E8" w:rsidP="00D616E8">
            <w:pPr>
              <w:pStyle w:val="ListParagraph"/>
              <w:ind w:left="360" w:right="0"/>
              <w:jc w:val="left"/>
              <w:rPr>
                <w:rFonts w:cs="Arial"/>
                <w:b/>
                <w:sz w:val="21"/>
                <w:szCs w:val="21"/>
              </w:rPr>
            </w:pPr>
            <w:r w:rsidRPr="007A79DF">
              <w:rPr>
                <w:b/>
                <w:sz w:val="21"/>
                <w:szCs w:val="21"/>
              </w:rPr>
              <w:t>√</w:t>
            </w:r>
          </w:p>
        </w:tc>
      </w:tr>
      <w:tr w:rsidR="00D616E8" w14:paraId="78B2B34A" w14:textId="77777777" w:rsidTr="00E82E89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48" w14:textId="77777777" w:rsidR="00D616E8" w:rsidRPr="00D020A6" w:rsidRDefault="00D616E8" w:rsidP="00D616E8">
            <w:pPr>
              <w:pStyle w:val="ListParagraph"/>
              <w:numPr>
                <w:ilvl w:val="0"/>
                <w:numId w:val="14"/>
              </w:numPr>
              <w:ind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 w:rsidRPr="00D020A6">
              <w:rPr>
                <w:sz w:val="21"/>
                <w:szCs w:val="21"/>
              </w:rPr>
              <w:t xml:space="preserve">ompromiso de </w:t>
            </w:r>
            <w:r w:rsidRPr="00D020A6">
              <w:rPr>
                <w:b/>
                <w:sz w:val="21"/>
                <w:szCs w:val="21"/>
              </w:rPr>
              <w:t>controlar y comunicar los resultados en materia de igualdad de género</w:t>
            </w:r>
            <w:r w:rsidRPr="00D020A6">
              <w:rPr>
                <w:sz w:val="21"/>
                <w:szCs w:val="21"/>
              </w:rPr>
              <w:t xml:space="preserve"> alcanzados en el marco del proyecto.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49" w14:textId="2F7A7C23" w:rsidR="00D616E8" w:rsidRPr="00FB560B" w:rsidRDefault="00D616E8" w:rsidP="00D616E8">
            <w:pPr>
              <w:pStyle w:val="ListParagraph"/>
              <w:ind w:left="360" w:right="0"/>
              <w:jc w:val="left"/>
              <w:rPr>
                <w:rFonts w:cs="Arial"/>
                <w:b/>
                <w:sz w:val="21"/>
                <w:szCs w:val="21"/>
              </w:rPr>
            </w:pPr>
            <w:r w:rsidRPr="007A79DF">
              <w:rPr>
                <w:b/>
                <w:sz w:val="21"/>
                <w:szCs w:val="21"/>
              </w:rPr>
              <w:t>√</w:t>
            </w:r>
          </w:p>
        </w:tc>
      </w:tr>
    </w:tbl>
    <w:p w14:paraId="78B2B34B" w14:textId="77777777" w:rsidR="00C46A9A" w:rsidRDefault="00C46A9A" w:rsidP="00C46A9A">
      <w:pPr>
        <w:pStyle w:val="Default"/>
        <w:rPr>
          <w:rFonts w:ascii="Arial" w:hAnsi="Arial" w:cs="Arial"/>
          <w:sz w:val="18"/>
          <w:szCs w:val="18"/>
        </w:rPr>
      </w:pPr>
    </w:p>
    <w:p w14:paraId="78B2B34C" w14:textId="77777777" w:rsidR="00C46A9A" w:rsidRDefault="00C46A9A" w:rsidP="00C46A9A">
      <w:pPr>
        <w:pStyle w:val="Default"/>
        <w:rPr>
          <w:rFonts w:ascii="Arial" w:hAnsi="Arial" w:cs="Arial"/>
          <w:iCs/>
          <w:sz w:val="22"/>
          <w:szCs w:val="22"/>
        </w:rPr>
      </w:pPr>
    </w:p>
    <w:p w14:paraId="78B2B34D" w14:textId="77777777" w:rsidR="00C46A9A" w:rsidRDefault="00C46A9A" w:rsidP="00C46A9A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  <w:u w:val="single"/>
        </w:rPr>
        <w:t>Comentarios</w:t>
      </w:r>
      <w:r w:rsidRPr="00E82E89">
        <w:rPr>
          <w:rFonts w:ascii="Arial" w:hAnsi="Arial"/>
          <w:iCs/>
          <w:sz w:val="22"/>
          <w:szCs w:val="22"/>
        </w:rPr>
        <w:t xml:space="preserve">: </w:t>
      </w:r>
      <w:r w:rsidR="00453BEF">
        <w:rPr>
          <w:rFonts w:ascii="Arial" w:hAnsi="Arial"/>
          <w:iCs/>
          <w:sz w:val="22"/>
          <w:szCs w:val="22"/>
        </w:rPr>
        <w:t>Por favor, a</w:t>
      </w:r>
      <w:r>
        <w:rPr>
          <w:rFonts w:ascii="Arial" w:hAnsi="Arial"/>
          <w:iCs/>
          <w:sz w:val="22"/>
          <w:szCs w:val="22"/>
        </w:rPr>
        <w:t xml:space="preserve">gregue aquí sus comentarios en relación con el puntaje o información pertinente acerca del análisis de género.  </w:t>
      </w:r>
    </w:p>
    <w:p w14:paraId="78B2B34E" w14:textId="77777777" w:rsidR="00C46A9A" w:rsidRDefault="00C46A9A" w:rsidP="00C46A9A">
      <w:pPr>
        <w:pStyle w:val="Default"/>
        <w:rPr>
          <w:rFonts w:ascii="Arial" w:hAnsi="Arial" w:cs="Arial"/>
          <w:iCs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47"/>
      </w:tblGrid>
      <w:tr w:rsidR="00C46A9A" w14:paraId="78B2B356" w14:textId="77777777" w:rsidTr="00E82E89">
        <w:trPr>
          <w:trHeight w:val="415"/>
          <w:jc w:val="center"/>
        </w:trPr>
        <w:tc>
          <w:tcPr>
            <w:tcW w:w="8647" w:type="dxa"/>
          </w:tcPr>
          <w:p w14:paraId="78B2B34F" w14:textId="77777777" w:rsidR="00C46A9A" w:rsidRDefault="00C46A9A" w:rsidP="00E82E89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3DAE32E9" w14:textId="77777777" w:rsidR="00C71F65" w:rsidRPr="00C71F65" w:rsidRDefault="00D616E8" w:rsidP="00C71F65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Aunque no se realizó un estudio a profundidad sobre las condiciones de género en el programa, si se abordó </w:t>
            </w:r>
            <w:r w:rsidR="00711944">
              <w:rPr>
                <w:rFonts w:ascii="Arial" w:hAnsi="Arial" w:cs="Arial"/>
                <w:iCs/>
                <w:sz w:val="20"/>
                <w:szCs w:val="20"/>
              </w:rPr>
              <w:t xml:space="preserve">el contexto y </w:t>
            </w:r>
            <w:r>
              <w:rPr>
                <w:rFonts w:ascii="Arial" w:hAnsi="Arial" w:cs="Arial"/>
                <w:iCs/>
                <w:sz w:val="20"/>
                <w:szCs w:val="20"/>
              </w:rPr>
              <w:t>la transversalización del mismo en el proceso de evaluación externa de la primera fase y durante el proceso de diseño de la fase II.</w:t>
            </w:r>
            <w:r w:rsidR="00F85329">
              <w:rPr>
                <w:rFonts w:ascii="Arial" w:hAnsi="Arial" w:cs="Arial"/>
                <w:iCs/>
                <w:sz w:val="20"/>
                <w:szCs w:val="20"/>
              </w:rPr>
              <w:t xml:space="preserve"> Por lo que, e</w:t>
            </w:r>
            <w:r w:rsidR="00F85329" w:rsidRPr="00F85329">
              <w:rPr>
                <w:rFonts w:ascii="Arial" w:hAnsi="Arial" w:cs="Arial"/>
                <w:iCs/>
                <w:sz w:val="20"/>
                <w:szCs w:val="20"/>
              </w:rPr>
              <w:t xml:space="preserve">l programa toma en cuenta </w:t>
            </w:r>
            <w:r w:rsidR="00F85329">
              <w:rPr>
                <w:rFonts w:ascii="Arial" w:hAnsi="Arial" w:cs="Arial"/>
                <w:iCs/>
                <w:sz w:val="20"/>
                <w:szCs w:val="20"/>
              </w:rPr>
              <w:t xml:space="preserve">el tema de género </w:t>
            </w:r>
            <w:r w:rsidR="00F85329" w:rsidRPr="00F85329">
              <w:rPr>
                <w:rFonts w:ascii="Arial" w:hAnsi="Arial" w:cs="Arial"/>
                <w:iCs/>
                <w:sz w:val="20"/>
                <w:szCs w:val="20"/>
              </w:rPr>
              <w:t xml:space="preserve">en </w:t>
            </w:r>
            <w:r w:rsidR="00F85329">
              <w:rPr>
                <w:rFonts w:ascii="Arial" w:hAnsi="Arial" w:cs="Arial"/>
                <w:iCs/>
                <w:sz w:val="20"/>
                <w:szCs w:val="20"/>
              </w:rPr>
              <w:t xml:space="preserve">el contexto, efectos, </w:t>
            </w:r>
            <w:r w:rsidR="00F85329" w:rsidRPr="00F85329">
              <w:rPr>
                <w:rFonts w:ascii="Arial" w:hAnsi="Arial" w:cs="Arial"/>
                <w:iCs/>
                <w:sz w:val="20"/>
                <w:szCs w:val="20"/>
              </w:rPr>
              <w:t xml:space="preserve">estrategia de </w:t>
            </w:r>
            <w:r w:rsidR="00F85329">
              <w:rPr>
                <w:rFonts w:ascii="Arial" w:hAnsi="Arial" w:cs="Arial"/>
                <w:iCs/>
                <w:sz w:val="20"/>
                <w:szCs w:val="20"/>
              </w:rPr>
              <w:t>implementación</w:t>
            </w:r>
            <w:r w:rsidR="00C71F65">
              <w:rPr>
                <w:rFonts w:ascii="Arial" w:hAnsi="Arial" w:cs="Arial"/>
                <w:iCs/>
                <w:sz w:val="20"/>
                <w:szCs w:val="20"/>
              </w:rPr>
              <w:t>, productos, i</w:t>
            </w:r>
            <w:r w:rsidR="00F85329">
              <w:rPr>
                <w:rFonts w:ascii="Arial" w:hAnsi="Arial" w:cs="Arial"/>
                <w:iCs/>
                <w:sz w:val="20"/>
                <w:szCs w:val="20"/>
              </w:rPr>
              <w:t xml:space="preserve">ndicadores </w:t>
            </w:r>
            <w:r w:rsidR="00F85329" w:rsidRPr="00F85329">
              <w:rPr>
                <w:rFonts w:ascii="Arial" w:hAnsi="Arial" w:cs="Arial"/>
                <w:iCs/>
                <w:sz w:val="20"/>
                <w:szCs w:val="20"/>
              </w:rPr>
              <w:t xml:space="preserve">y actividades. </w:t>
            </w:r>
          </w:p>
          <w:p w14:paraId="78B2B350" w14:textId="051A8EA6" w:rsidR="00C46A9A" w:rsidRPr="00711944" w:rsidRDefault="00C71F65" w:rsidP="00C71F65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En la fase II, el programa r</w:t>
            </w:r>
            <w:r w:rsidR="00F85329" w:rsidRPr="00F85329">
              <w:rPr>
                <w:rFonts w:ascii="Arial" w:hAnsi="Arial" w:cs="Arial"/>
                <w:iCs/>
                <w:sz w:val="20"/>
                <w:szCs w:val="20"/>
              </w:rPr>
              <w:t>eenfoca el trabajo de género con cada uno de los actores claves, priorizando el empoderamiento de las mujeres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y los niveles de participación al interior de las organizaciones sociales y en los espacios de toma de decisiones. </w:t>
            </w:r>
          </w:p>
          <w:p w14:paraId="78B2B351" w14:textId="4A437F22" w:rsidR="00C46A9A" w:rsidRPr="00C71F65" w:rsidRDefault="00711944" w:rsidP="00C71F65">
            <w:pPr>
              <w:pStyle w:val="Default"/>
              <w:numPr>
                <w:ilvl w:val="0"/>
                <w:numId w:val="2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Producto del análisis de género, se establecen dos productos </w:t>
            </w:r>
            <w:r w:rsidR="00F85329">
              <w:rPr>
                <w:rFonts w:ascii="Arial" w:hAnsi="Arial" w:cs="Arial"/>
                <w:iCs/>
                <w:sz w:val="20"/>
                <w:szCs w:val="20"/>
              </w:rPr>
              <w:t xml:space="preserve">específicos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en materia de género y </w:t>
            </w:r>
            <w:r w:rsidR="00F85329">
              <w:rPr>
                <w:rFonts w:ascii="Arial" w:hAnsi="Arial" w:cs="Arial"/>
                <w:iCs/>
                <w:sz w:val="20"/>
                <w:szCs w:val="20"/>
              </w:rPr>
              <w:t>23 indicadores de efectos y productos que monitorean el avance del trabajo en la materia.</w:t>
            </w:r>
          </w:p>
          <w:p w14:paraId="78B2B352" w14:textId="77777777" w:rsidR="00382CCC" w:rsidRDefault="00382CCC" w:rsidP="00E82E89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78B2B353" w14:textId="77777777" w:rsidR="00382CCC" w:rsidRDefault="00382CCC" w:rsidP="00E82E89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78B2B354" w14:textId="77777777" w:rsidR="00382CCC" w:rsidRDefault="00382CCC" w:rsidP="00E82E89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78B2B355" w14:textId="77777777" w:rsidR="00C46A9A" w:rsidRDefault="00C46A9A" w:rsidP="00E82E89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</w:tc>
      </w:tr>
    </w:tbl>
    <w:p w14:paraId="78B2B357" w14:textId="77777777" w:rsidR="00C46A9A" w:rsidRDefault="00C46A9A" w:rsidP="00C46A9A">
      <w:pPr>
        <w:pStyle w:val="Default"/>
        <w:rPr>
          <w:rFonts w:ascii="Arial" w:hAnsi="Arial" w:cs="Arial"/>
          <w:iCs/>
          <w:sz w:val="22"/>
          <w:szCs w:val="22"/>
        </w:rPr>
      </w:pPr>
    </w:p>
    <w:p w14:paraId="78B2B358" w14:textId="77777777" w:rsidR="00C46A9A" w:rsidRDefault="00C46A9A" w:rsidP="00C46A9A">
      <w:pPr>
        <w:ind w:left="0"/>
        <w:jc w:val="both"/>
        <w:rPr>
          <w:rFonts w:cs="Arial"/>
          <w:iCs/>
          <w:sz w:val="22"/>
          <w:szCs w:val="22"/>
        </w:rPr>
      </w:pPr>
    </w:p>
    <w:p w14:paraId="78B2B359" w14:textId="77777777" w:rsidR="00C46A9A" w:rsidRPr="0049033B" w:rsidRDefault="00C46A9A" w:rsidP="00C46A9A">
      <w:pPr>
        <w:pStyle w:val="Default"/>
        <w:shd w:val="clear" w:color="auto" w:fill="FFFFFF" w:themeFill="background1"/>
        <w:rPr>
          <w:rFonts w:ascii="Arial" w:hAnsi="Arial" w:cs="Arial"/>
          <w:b/>
          <w:iCs/>
          <w:sz w:val="21"/>
          <w:szCs w:val="21"/>
        </w:rPr>
      </w:pPr>
      <w:r w:rsidRPr="00D020A6">
        <w:rPr>
          <w:rFonts w:ascii="Arial" w:hAnsi="Arial"/>
          <w:b/>
          <w:iCs/>
          <w:sz w:val="21"/>
          <w:szCs w:val="21"/>
          <w:u w:val="single"/>
        </w:rPr>
        <w:t>Tome en cuenta que</w:t>
      </w:r>
      <w:r>
        <w:rPr>
          <w:rFonts w:ascii="Arial" w:hAnsi="Arial"/>
          <w:b/>
          <w:iCs/>
          <w:sz w:val="21"/>
          <w:szCs w:val="21"/>
        </w:rPr>
        <w:t>:</w:t>
      </w:r>
    </w:p>
    <w:p w14:paraId="78B2B35A" w14:textId="77777777" w:rsidR="00C46A9A" w:rsidRPr="0049033B" w:rsidRDefault="00C46A9A" w:rsidP="00C46A9A">
      <w:pPr>
        <w:pStyle w:val="Default"/>
        <w:rPr>
          <w:rFonts w:ascii="Arial" w:hAnsi="Arial" w:cs="Arial"/>
          <w:iCs/>
          <w:sz w:val="21"/>
          <w:szCs w:val="21"/>
        </w:rPr>
      </w:pPr>
    </w:p>
    <w:p w14:paraId="78B2B35B" w14:textId="77777777" w:rsidR="00C46A9A" w:rsidRPr="0049033B" w:rsidRDefault="00C46A9A" w:rsidP="00C46A9A">
      <w:pPr>
        <w:pStyle w:val="Default"/>
        <w:numPr>
          <w:ilvl w:val="0"/>
          <w:numId w:val="17"/>
        </w:numPr>
        <w:spacing w:after="120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/>
          <w:b/>
          <w:iCs/>
          <w:sz w:val="21"/>
          <w:szCs w:val="21"/>
        </w:rPr>
        <w:t>Si no es posible satisfacer todos los criterios</w:t>
      </w:r>
      <w:r>
        <w:rPr>
          <w:rFonts w:ascii="Arial" w:hAnsi="Arial"/>
          <w:iCs/>
          <w:sz w:val="21"/>
          <w:szCs w:val="21"/>
        </w:rPr>
        <w:t xml:space="preserve">, se deben efectuar modificaciones para cumplirlos. </w:t>
      </w:r>
      <w:r>
        <w:rPr>
          <w:rFonts w:ascii="Arial" w:hAnsi="Arial"/>
          <w:sz w:val="21"/>
          <w:szCs w:val="21"/>
        </w:rPr>
        <w:t>De otro modo, se debe calificar el proyecto como «no contemplado».</w:t>
      </w:r>
      <w:r>
        <w:rPr>
          <w:rFonts w:ascii="Arial" w:hAnsi="Arial"/>
          <w:iCs/>
          <w:sz w:val="21"/>
          <w:szCs w:val="21"/>
        </w:rPr>
        <w:t xml:space="preserve"> </w:t>
      </w:r>
    </w:p>
    <w:p w14:paraId="78B2B35C" w14:textId="77777777" w:rsidR="00C46A9A" w:rsidRPr="0049033B" w:rsidRDefault="00C46A9A" w:rsidP="00C46A9A">
      <w:pPr>
        <w:pStyle w:val="Default"/>
        <w:numPr>
          <w:ilvl w:val="0"/>
          <w:numId w:val="17"/>
        </w:numPr>
        <w:spacing w:after="120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/>
          <w:b/>
          <w:iCs/>
          <w:sz w:val="21"/>
          <w:szCs w:val="21"/>
        </w:rPr>
        <w:t xml:space="preserve">Un proyecto cuyo puntaje le merece el calificativo de «principal» no es necesariamente mejor que otro calificado como «significativo». </w:t>
      </w:r>
      <w:r>
        <w:rPr>
          <w:rFonts w:ascii="Arial" w:hAnsi="Arial"/>
          <w:iCs/>
          <w:sz w:val="21"/>
          <w:szCs w:val="21"/>
        </w:rPr>
        <w:t xml:space="preserve">Se recomienda aplicar un enfoque que combine proyectos contemplados que integren cuestiones de género. </w:t>
      </w:r>
    </w:p>
    <w:p w14:paraId="78B2B35D" w14:textId="77777777" w:rsidR="00C46A9A" w:rsidRPr="0049033B" w:rsidRDefault="00C46A9A" w:rsidP="00C46A9A">
      <w:pPr>
        <w:pStyle w:val="Default"/>
        <w:numPr>
          <w:ilvl w:val="0"/>
          <w:numId w:val="17"/>
        </w:numPr>
        <w:spacing w:after="120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/>
          <w:b/>
          <w:iCs/>
          <w:sz w:val="21"/>
          <w:szCs w:val="21"/>
        </w:rPr>
        <w:t>El análisis de género es fundamental y constituye un requerimiento para todo proyecto</w:t>
      </w:r>
      <w:r>
        <w:rPr>
          <w:rFonts w:ascii="Arial" w:hAnsi="Arial"/>
          <w:iCs/>
          <w:sz w:val="21"/>
          <w:szCs w:val="21"/>
        </w:rPr>
        <w:t xml:space="preserve">. Se requiere como mínimo </w:t>
      </w:r>
      <w:r>
        <w:rPr>
          <w:rFonts w:ascii="Arial" w:hAnsi="Arial"/>
          <w:b/>
          <w:iCs/>
          <w:sz w:val="21"/>
          <w:szCs w:val="21"/>
        </w:rPr>
        <w:t>reflexionar específicamente</w:t>
      </w:r>
      <w:r>
        <w:rPr>
          <w:rFonts w:ascii="Arial" w:hAnsi="Arial"/>
          <w:iCs/>
          <w:sz w:val="21"/>
          <w:szCs w:val="21"/>
        </w:rPr>
        <w:t xml:space="preserve"> acerca del contexto del proyecto y de los resultados en relación con la igualdad de género. El análisis de género y el ejercicio de reflexión específica deben ser </w:t>
      </w:r>
      <w:r>
        <w:rPr>
          <w:rFonts w:ascii="Arial" w:hAnsi="Arial"/>
          <w:b/>
          <w:iCs/>
          <w:sz w:val="21"/>
          <w:szCs w:val="21"/>
        </w:rPr>
        <w:t>explicitados</w:t>
      </w:r>
      <w:r>
        <w:rPr>
          <w:rFonts w:ascii="Arial" w:hAnsi="Arial"/>
          <w:iCs/>
          <w:sz w:val="21"/>
          <w:szCs w:val="21"/>
        </w:rPr>
        <w:t xml:space="preserve"> en toda entrada o solicitud de crédito. </w:t>
      </w:r>
      <w:r>
        <w:rPr>
          <w:rFonts w:ascii="Arial" w:hAnsi="Arial"/>
          <w:sz w:val="21"/>
          <w:szCs w:val="21"/>
        </w:rPr>
        <w:t xml:space="preserve">Esto puede realizarse: 1) en el documento principal, 2) en un anexo (p. ej. extracto de </w:t>
      </w:r>
      <w:proofErr w:type="spellStart"/>
      <w:r>
        <w:rPr>
          <w:rFonts w:ascii="Arial" w:hAnsi="Arial"/>
          <w:sz w:val="21"/>
          <w:szCs w:val="21"/>
        </w:rPr>
        <w:t>ProDoc</w:t>
      </w:r>
      <w:proofErr w:type="spellEnd"/>
      <w:r>
        <w:rPr>
          <w:rFonts w:ascii="Arial" w:hAnsi="Arial"/>
          <w:sz w:val="21"/>
          <w:szCs w:val="21"/>
        </w:rPr>
        <w:t>) o 3) en los comentarios de esta lista de control de género (</w:t>
      </w:r>
      <w:proofErr w:type="spellStart"/>
      <w:r>
        <w:rPr>
          <w:rFonts w:ascii="Arial" w:hAnsi="Arial"/>
          <w:sz w:val="21"/>
          <w:szCs w:val="21"/>
        </w:rPr>
        <w:t>Gender</w:t>
      </w:r>
      <w:proofErr w:type="spellEnd"/>
      <w:r>
        <w:rPr>
          <w:rFonts w:ascii="Arial" w:hAnsi="Arial"/>
          <w:sz w:val="21"/>
          <w:szCs w:val="21"/>
        </w:rPr>
        <w:t xml:space="preserve"> </w:t>
      </w:r>
      <w:proofErr w:type="spellStart"/>
      <w:r>
        <w:rPr>
          <w:rFonts w:ascii="Arial" w:hAnsi="Arial"/>
          <w:sz w:val="21"/>
          <w:szCs w:val="21"/>
        </w:rPr>
        <w:t>Checklist</w:t>
      </w:r>
      <w:proofErr w:type="spellEnd"/>
      <w:r>
        <w:rPr>
          <w:rFonts w:ascii="Arial" w:hAnsi="Arial"/>
          <w:sz w:val="21"/>
          <w:szCs w:val="21"/>
        </w:rPr>
        <w:t>).</w:t>
      </w:r>
    </w:p>
    <w:p w14:paraId="78B2B35E" w14:textId="77777777" w:rsidR="00C46A9A" w:rsidRPr="0049033B" w:rsidRDefault="00C46A9A" w:rsidP="00C46A9A">
      <w:pPr>
        <w:pStyle w:val="Default"/>
        <w:numPr>
          <w:ilvl w:val="0"/>
          <w:numId w:val="17"/>
        </w:numPr>
        <w:spacing w:after="120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 xml:space="preserve">Para </w:t>
      </w:r>
      <w:r>
        <w:rPr>
          <w:rFonts w:ascii="Arial" w:hAnsi="Arial"/>
          <w:b/>
          <w:iCs/>
          <w:sz w:val="21"/>
          <w:szCs w:val="21"/>
        </w:rPr>
        <w:t>mayor orientación sobre cómo realizar un análisis de género</w:t>
      </w:r>
      <w:r>
        <w:rPr>
          <w:rFonts w:ascii="Arial" w:hAnsi="Arial"/>
          <w:iCs/>
          <w:sz w:val="21"/>
          <w:szCs w:val="21"/>
        </w:rPr>
        <w:t>, consulte la hoja de guía sobre el tema (</w:t>
      </w:r>
      <w:proofErr w:type="spellStart"/>
      <w:r w:rsidRPr="00382CCC">
        <w:rPr>
          <w:rFonts w:ascii="Arial" w:hAnsi="Arial"/>
          <w:i/>
          <w:iCs/>
          <w:sz w:val="21"/>
          <w:szCs w:val="21"/>
          <w:u w:val="single"/>
        </w:rPr>
        <w:t>Guidance</w:t>
      </w:r>
      <w:proofErr w:type="spellEnd"/>
      <w:r w:rsidRPr="00382CCC">
        <w:rPr>
          <w:rFonts w:ascii="Arial" w:hAnsi="Arial"/>
          <w:i/>
          <w:iCs/>
          <w:sz w:val="21"/>
          <w:szCs w:val="21"/>
          <w:u w:val="single"/>
        </w:rPr>
        <w:t xml:space="preserve"> </w:t>
      </w:r>
      <w:proofErr w:type="spellStart"/>
      <w:r w:rsidRPr="00382CCC">
        <w:rPr>
          <w:rFonts w:ascii="Arial" w:hAnsi="Arial"/>
          <w:i/>
          <w:iCs/>
          <w:sz w:val="21"/>
          <w:szCs w:val="21"/>
          <w:u w:val="single"/>
        </w:rPr>
        <w:t>Sheet</w:t>
      </w:r>
      <w:proofErr w:type="spellEnd"/>
      <w:r w:rsidRPr="00382CCC">
        <w:rPr>
          <w:rFonts w:ascii="Arial" w:hAnsi="Arial"/>
          <w:i/>
          <w:iCs/>
          <w:sz w:val="21"/>
          <w:szCs w:val="21"/>
          <w:u w:val="single"/>
        </w:rPr>
        <w:t xml:space="preserve"> </w:t>
      </w:r>
      <w:proofErr w:type="spellStart"/>
      <w:r w:rsidRPr="00382CCC">
        <w:rPr>
          <w:rFonts w:ascii="Arial" w:hAnsi="Arial"/>
          <w:i/>
          <w:iCs/>
          <w:sz w:val="21"/>
          <w:szCs w:val="21"/>
          <w:u w:val="single"/>
        </w:rPr>
        <w:t>on</w:t>
      </w:r>
      <w:proofErr w:type="spellEnd"/>
      <w:r w:rsidRPr="00382CCC">
        <w:rPr>
          <w:rFonts w:ascii="Arial" w:hAnsi="Arial"/>
          <w:i/>
          <w:iCs/>
          <w:sz w:val="21"/>
          <w:szCs w:val="21"/>
          <w:u w:val="single"/>
        </w:rPr>
        <w:t xml:space="preserve"> </w:t>
      </w:r>
      <w:proofErr w:type="spellStart"/>
      <w:r w:rsidRPr="00382CCC">
        <w:rPr>
          <w:rFonts w:ascii="Arial" w:hAnsi="Arial"/>
          <w:i/>
          <w:iCs/>
          <w:sz w:val="21"/>
          <w:szCs w:val="21"/>
          <w:u w:val="single"/>
        </w:rPr>
        <w:t>Gender</w:t>
      </w:r>
      <w:proofErr w:type="spellEnd"/>
      <w:r w:rsidRPr="00382CCC">
        <w:rPr>
          <w:rFonts w:ascii="Arial" w:hAnsi="Arial"/>
          <w:i/>
          <w:iCs/>
          <w:sz w:val="21"/>
          <w:szCs w:val="21"/>
          <w:u w:val="single"/>
        </w:rPr>
        <w:t xml:space="preserve"> </w:t>
      </w:r>
      <w:proofErr w:type="spellStart"/>
      <w:r w:rsidRPr="00382CCC">
        <w:rPr>
          <w:rFonts w:ascii="Arial" w:hAnsi="Arial"/>
          <w:i/>
          <w:iCs/>
          <w:sz w:val="21"/>
          <w:szCs w:val="21"/>
          <w:u w:val="single"/>
        </w:rPr>
        <w:t>Analysis</w:t>
      </w:r>
      <w:proofErr w:type="spellEnd"/>
      <w:r>
        <w:rPr>
          <w:rFonts w:ascii="Arial" w:hAnsi="Arial"/>
          <w:iCs/>
          <w:sz w:val="21"/>
          <w:szCs w:val="21"/>
        </w:rPr>
        <w:t>)</w:t>
      </w:r>
      <w:r w:rsidR="00382CCC">
        <w:rPr>
          <w:rFonts w:ascii="Arial" w:hAnsi="Arial"/>
          <w:iCs/>
          <w:sz w:val="21"/>
          <w:szCs w:val="21"/>
        </w:rPr>
        <w:t xml:space="preserve">. </w:t>
      </w:r>
      <w:r>
        <w:rPr>
          <w:rFonts w:ascii="Arial" w:hAnsi="Arial"/>
          <w:iCs/>
          <w:sz w:val="21"/>
          <w:szCs w:val="21"/>
        </w:rPr>
        <w:t xml:space="preserve">Para </w:t>
      </w:r>
      <w:r>
        <w:rPr>
          <w:rFonts w:ascii="Arial" w:hAnsi="Arial"/>
          <w:b/>
          <w:iCs/>
          <w:sz w:val="21"/>
          <w:szCs w:val="21"/>
        </w:rPr>
        <w:t>mayor orientación sobre cómo integrar el tema del género a los proyectos</w:t>
      </w:r>
      <w:r>
        <w:rPr>
          <w:rFonts w:ascii="Arial" w:hAnsi="Arial"/>
          <w:iCs/>
          <w:sz w:val="21"/>
          <w:szCs w:val="21"/>
        </w:rPr>
        <w:t>, consulte la hoja de guía sobre el tema (</w:t>
      </w:r>
      <w:proofErr w:type="spellStart"/>
      <w:r w:rsidRPr="00382CCC">
        <w:rPr>
          <w:rFonts w:ascii="Arial" w:hAnsi="Arial"/>
          <w:i/>
          <w:iCs/>
          <w:sz w:val="21"/>
          <w:szCs w:val="21"/>
          <w:u w:val="single"/>
        </w:rPr>
        <w:t>Guidance</w:t>
      </w:r>
      <w:proofErr w:type="spellEnd"/>
      <w:r w:rsidRPr="00382CCC">
        <w:rPr>
          <w:rFonts w:ascii="Arial" w:hAnsi="Arial"/>
          <w:i/>
          <w:iCs/>
          <w:sz w:val="21"/>
          <w:szCs w:val="21"/>
          <w:u w:val="single"/>
        </w:rPr>
        <w:t xml:space="preserve"> </w:t>
      </w:r>
      <w:proofErr w:type="spellStart"/>
      <w:r w:rsidRPr="00382CCC">
        <w:rPr>
          <w:rFonts w:ascii="Arial" w:hAnsi="Arial"/>
          <w:i/>
          <w:iCs/>
          <w:sz w:val="21"/>
          <w:szCs w:val="21"/>
          <w:u w:val="single"/>
        </w:rPr>
        <w:t>Sheet</w:t>
      </w:r>
      <w:proofErr w:type="spellEnd"/>
      <w:r w:rsidRPr="00382CCC">
        <w:rPr>
          <w:rFonts w:ascii="Arial" w:hAnsi="Arial"/>
          <w:i/>
          <w:iCs/>
          <w:sz w:val="21"/>
          <w:szCs w:val="21"/>
          <w:u w:val="single"/>
        </w:rPr>
        <w:t xml:space="preserve"> </w:t>
      </w:r>
      <w:proofErr w:type="spellStart"/>
      <w:r w:rsidRPr="00382CCC">
        <w:rPr>
          <w:rFonts w:ascii="Arial" w:hAnsi="Arial"/>
          <w:i/>
          <w:iCs/>
          <w:sz w:val="21"/>
          <w:szCs w:val="21"/>
          <w:u w:val="single"/>
        </w:rPr>
        <w:t>on</w:t>
      </w:r>
      <w:proofErr w:type="spellEnd"/>
      <w:r w:rsidRPr="00382CCC">
        <w:rPr>
          <w:rFonts w:ascii="Arial" w:hAnsi="Arial"/>
          <w:iCs/>
          <w:sz w:val="21"/>
          <w:szCs w:val="21"/>
          <w:u w:val="single"/>
        </w:rPr>
        <w:t xml:space="preserve"> </w:t>
      </w:r>
      <w:proofErr w:type="spellStart"/>
      <w:r w:rsidRPr="00382CCC">
        <w:rPr>
          <w:rFonts w:ascii="Arial" w:hAnsi="Arial"/>
          <w:i/>
          <w:iCs/>
          <w:sz w:val="21"/>
          <w:szCs w:val="21"/>
          <w:u w:val="single"/>
        </w:rPr>
        <w:t>Integrating</w:t>
      </w:r>
      <w:proofErr w:type="spellEnd"/>
      <w:r w:rsidRPr="00382CCC">
        <w:rPr>
          <w:rFonts w:ascii="Arial" w:hAnsi="Arial"/>
          <w:i/>
          <w:iCs/>
          <w:sz w:val="21"/>
          <w:szCs w:val="21"/>
          <w:u w:val="single"/>
        </w:rPr>
        <w:t xml:space="preserve"> </w:t>
      </w:r>
      <w:proofErr w:type="spellStart"/>
      <w:r w:rsidRPr="00382CCC">
        <w:rPr>
          <w:rFonts w:ascii="Arial" w:hAnsi="Arial"/>
          <w:i/>
          <w:iCs/>
          <w:sz w:val="21"/>
          <w:szCs w:val="21"/>
          <w:u w:val="single"/>
        </w:rPr>
        <w:t>Gender</w:t>
      </w:r>
      <w:proofErr w:type="spellEnd"/>
      <w:r w:rsidRPr="00382CCC">
        <w:rPr>
          <w:rFonts w:ascii="Arial" w:hAnsi="Arial"/>
          <w:i/>
          <w:iCs/>
          <w:sz w:val="21"/>
          <w:szCs w:val="21"/>
          <w:u w:val="single"/>
        </w:rPr>
        <w:t xml:space="preserve"> in </w:t>
      </w:r>
      <w:proofErr w:type="spellStart"/>
      <w:r w:rsidRPr="00382CCC">
        <w:rPr>
          <w:rFonts w:ascii="Arial" w:hAnsi="Arial"/>
          <w:i/>
          <w:iCs/>
          <w:sz w:val="21"/>
          <w:szCs w:val="21"/>
          <w:u w:val="single"/>
        </w:rPr>
        <w:t>the</w:t>
      </w:r>
      <w:proofErr w:type="spellEnd"/>
      <w:r w:rsidRPr="00382CCC">
        <w:rPr>
          <w:rFonts w:ascii="Arial" w:hAnsi="Arial"/>
          <w:i/>
          <w:iCs/>
          <w:sz w:val="21"/>
          <w:szCs w:val="21"/>
          <w:u w:val="single"/>
        </w:rPr>
        <w:t xml:space="preserve"> PCM</w:t>
      </w:r>
      <w:r w:rsidR="00382CCC">
        <w:rPr>
          <w:rFonts w:ascii="Arial" w:hAnsi="Arial"/>
          <w:iCs/>
          <w:sz w:val="21"/>
          <w:szCs w:val="21"/>
        </w:rPr>
        <w:t>)</w:t>
      </w:r>
      <w:r>
        <w:rPr>
          <w:rFonts w:ascii="Arial" w:hAnsi="Arial"/>
          <w:iCs/>
          <w:sz w:val="21"/>
          <w:szCs w:val="21"/>
        </w:rPr>
        <w:t>.</w:t>
      </w:r>
    </w:p>
    <w:p w14:paraId="78B2B35F" w14:textId="77777777" w:rsidR="00C46A9A" w:rsidRPr="0049033B" w:rsidRDefault="00C46A9A" w:rsidP="00C46A9A">
      <w:pPr>
        <w:pStyle w:val="Default"/>
        <w:numPr>
          <w:ilvl w:val="0"/>
          <w:numId w:val="17"/>
        </w:numPr>
        <w:spacing w:after="120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 xml:space="preserve">Recomendamos </w:t>
      </w:r>
      <w:r>
        <w:rPr>
          <w:rFonts w:ascii="Arial" w:hAnsi="Arial"/>
          <w:b/>
          <w:iCs/>
          <w:sz w:val="21"/>
          <w:szCs w:val="21"/>
        </w:rPr>
        <w:t>compartir esta lista de c</w:t>
      </w:r>
      <w:r w:rsidR="009D59FE">
        <w:rPr>
          <w:rFonts w:ascii="Arial" w:hAnsi="Arial"/>
          <w:b/>
          <w:iCs/>
          <w:sz w:val="21"/>
          <w:szCs w:val="21"/>
        </w:rPr>
        <w:t>hequeo</w:t>
      </w:r>
      <w:r>
        <w:rPr>
          <w:rFonts w:ascii="Arial" w:hAnsi="Arial"/>
          <w:b/>
          <w:iCs/>
          <w:sz w:val="21"/>
          <w:szCs w:val="21"/>
        </w:rPr>
        <w:t xml:space="preserve"> con sus contrapartes encargadas de la ejecución del proyecto </w:t>
      </w:r>
      <w:r>
        <w:rPr>
          <w:rFonts w:ascii="Arial" w:hAnsi="Arial"/>
          <w:iCs/>
          <w:sz w:val="21"/>
          <w:szCs w:val="21"/>
        </w:rPr>
        <w:t xml:space="preserve">a fin de realizar una autoevaluación mientras se desarrolla el proyecto. </w:t>
      </w:r>
    </w:p>
    <w:p w14:paraId="78B2B360" w14:textId="77777777" w:rsidR="00C46A9A" w:rsidRDefault="00C46A9A" w:rsidP="00C46A9A">
      <w:pPr>
        <w:ind w:left="0"/>
        <w:jc w:val="both"/>
        <w:rPr>
          <w:rFonts w:cs="Arial"/>
          <w:iCs/>
          <w:color w:val="000000"/>
          <w:sz w:val="22"/>
          <w:szCs w:val="22"/>
        </w:rPr>
      </w:pPr>
      <w:r>
        <w:br w:type="page"/>
      </w:r>
    </w:p>
    <w:p w14:paraId="78B2B361" w14:textId="77777777" w:rsidR="00C46A9A" w:rsidRDefault="00C46A9A" w:rsidP="00C46A9A">
      <w:pPr>
        <w:pStyle w:val="Default"/>
        <w:ind w:left="360"/>
        <w:rPr>
          <w:rFonts w:ascii="Arial" w:hAnsi="Arial" w:cs="Arial"/>
          <w:iCs/>
          <w:sz w:val="22"/>
          <w:szCs w:val="22"/>
        </w:rPr>
      </w:pPr>
    </w:p>
    <w:p w14:paraId="78B2B362" w14:textId="77777777" w:rsidR="00C46A9A" w:rsidRDefault="00C46A9A" w:rsidP="00C46A9A">
      <w:pPr>
        <w:pStyle w:val="Default"/>
        <w:ind w:left="360"/>
        <w:rPr>
          <w:rFonts w:ascii="Arial" w:hAnsi="Arial" w:cs="Arial"/>
          <w:iCs/>
          <w:sz w:val="22"/>
          <w:szCs w:val="22"/>
        </w:rPr>
      </w:pPr>
    </w:p>
    <w:p w14:paraId="78B2B363" w14:textId="77777777" w:rsidR="00C46A9A" w:rsidRPr="008A3769" w:rsidRDefault="00C46A9A" w:rsidP="00C46A9A">
      <w:pPr>
        <w:pStyle w:val="Default"/>
        <w:numPr>
          <w:ilvl w:val="0"/>
          <w:numId w:val="16"/>
        </w:numPr>
        <w:shd w:val="clear" w:color="auto" w:fill="C6D9F1" w:themeFill="text2" w:themeFillTint="33"/>
        <w:ind w:left="426" w:hanging="426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/>
          <w:b/>
          <w:iCs/>
          <w:sz w:val="22"/>
          <w:szCs w:val="22"/>
        </w:rPr>
        <w:t xml:space="preserve">Aplicación del indicador de políticas de género en las contribuciones básicas </w:t>
      </w:r>
    </w:p>
    <w:p w14:paraId="78B2B364" w14:textId="77777777" w:rsidR="00C46A9A" w:rsidRDefault="00C46A9A" w:rsidP="00C46A9A">
      <w:pPr>
        <w:pStyle w:val="Default"/>
        <w:ind w:left="360"/>
        <w:rPr>
          <w:rFonts w:ascii="Arial" w:hAnsi="Arial" w:cs="Arial"/>
          <w:iCs/>
          <w:sz w:val="22"/>
          <w:szCs w:val="22"/>
        </w:rPr>
      </w:pPr>
    </w:p>
    <w:p w14:paraId="78B2B365" w14:textId="77777777" w:rsidR="00C46A9A" w:rsidRDefault="00C46A9A" w:rsidP="00C46A9A">
      <w:pPr>
        <w:pStyle w:val="Default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A pesar de que el CAD no utiliza el indicador de políticas de género para contribuciones multilaterales, la COSUDE sí aplica el indicador a las contribuciones </w:t>
      </w:r>
      <w:r w:rsidR="009D59FE">
        <w:rPr>
          <w:rFonts w:ascii="Arial" w:hAnsi="Arial"/>
          <w:iCs/>
          <w:sz w:val="22"/>
          <w:szCs w:val="22"/>
        </w:rPr>
        <w:t xml:space="preserve">generales </w:t>
      </w:r>
      <w:r>
        <w:rPr>
          <w:rFonts w:ascii="Arial" w:hAnsi="Arial"/>
          <w:iCs/>
          <w:sz w:val="22"/>
          <w:szCs w:val="22"/>
        </w:rPr>
        <w:t>a organizaciones multilaterales y contrapartes institucionales a fin de garantizar el aseguramiento de la calidad y poder localizar todos los recursos.</w:t>
      </w:r>
    </w:p>
    <w:p w14:paraId="78B2B366" w14:textId="77777777" w:rsidR="00C46A9A" w:rsidRDefault="00C46A9A" w:rsidP="00C46A9A">
      <w:pPr>
        <w:pStyle w:val="Default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Dado que los criterios del indicador de políticas de género se basan en la lógica de intervención</w:t>
      </w:r>
      <w:r w:rsidR="009D59FE">
        <w:rPr>
          <w:rFonts w:ascii="Arial" w:hAnsi="Arial"/>
          <w:iCs/>
          <w:sz w:val="22"/>
          <w:szCs w:val="22"/>
        </w:rPr>
        <w:t xml:space="preserve"> de la gestión de ciclo de proyectos (PCM)</w:t>
      </w:r>
      <w:r>
        <w:rPr>
          <w:rFonts w:ascii="Arial" w:hAnsi="Arial"/>
          <w:iCs/>
          <w:sz w:val="22"/>
          <w:szCs w:val="22"/>
        </w:rPr>
        <w:t xml:space="preserve">, su aplicación para las contribuciones </w:t>
      </w:r>
      <w:r w:rsidR="009D59FE">
        <w:rPr>
          <w:rFonts w:ascii="Arial" w:hAnsi="Arial"/>
          <w:iCs/>
          <w:sz w:val="22"/>
          <w:szCs w:val="22"/>
        </w:rPr>
        <w:t xml:space="preserve">generales </w:t>
      </w:r>
      <w:r>
        <w:rPr>
          <w:rFonts w:ascii="Arial" w:hAnsi="Arial"/>
          <w:iCs/>
          <w:sz w:val="22"/>
          <w:szCs w:val="22"/>
        </w:rPr>
        <w:t xml:space="preserve">no es siempre clara. </w:t>
      </w:r>
    </w:p>
    <w:p w14:paraId="78B2B367" w14:textId="77777777" w:rsidR="00C46A9A" w:rsidRDefault="00C46A9A" w:rsidP="00C46A9A">
      <w:pPr>
        <w:pStyle w:val="Default"/>
        <w:spacing w:after="120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/>
          <w:iCs/>
          <w:sz w:val="22"/>
          <w:szCs w:val="22"/>
        </w:rPr>
        <w:t xml:space="preserve">Para aplicar el indicador de políticas de género a las contribuciones </w:t>
      </w:r>
      <w:proofErr w:type="spellStart"/>
      <w:r>
        <w:rPr>
          <w:rFonts w:ascii="Arial" w:hAnsi="Arial"/>
          <w:iCs/>
          <w:sz w:val="22"/>
          <w:szCs w:val="22"/>
        </w:rPr>
        <w:t>multitalerales</w:t>
      </w:r>
      <w:proofErr w:type="spellEnd"/>
      <w:r>
        <w:rPr>
          <w:rFonts w:ascii="Arial" w:hAnsi="Arial"/>
          <w:iCs/>
          <w:sz w:val="22"/>
          <w:szCs w:val="22"/>
        </w:rPr>
        <w:t xml:space="preserve"> y otras contribuciones</w:t>
      </w:r>
      <w:r w:rsidR="009D59FE">
        <w:rPr>
          <w:rFonts w:ascii="Arial" w:hAnsi="Arial"/>
          <w:iCs/>
          <w:sz w:val="22"/>
          <w:szCs w:val="22"/>
        </w:rPr>
        <w:t xml:space="preserve"> de programa</w:t>
      </w:r>
      <w:r>
        <w:rPr>
          <w:rFonts w:ascii="Arial" w:hAnsi="Arial"/>
          <w:iCs/>
          <w:sz w:val="22"/>
          <w:szCs w:val="22"/>
        </w:rPr>
        <w:t>, es imperativo cumplir los siguientes criterios:</w:t>
      </w:r>
    </w:p>
    <w:p w14:paraId="78B2B368" w14:textId="77777777" w:rsidR="00C46A9A" w:rsidRDefault="00C46A9A" w:rsidP="00C46A9A">
      <w:pPr>
        <w:pStyle w:val="Default"/>
        <w:spacing w:after="120"/>
        <w:rPr>
          <w:rFonts w:ascii="Arial" w:hAnsi="Arial" w:cs="Arial"/>
          <w:iCs/>
          <w:sz w:val="22"/>
          <w:szCs w:val="22"/>
        </w:rPr>
      </w:pPr>
    </w:p>
    <w:tbl>
      <w:tblPr>
        <w:tblStyle w:val="TableGrid"/>
        <w:tblW w:w="8639" w:type="dxa"/>
        <w:jc w:val="center"/>
        <w:tblLook w:val="04A0" w:firstRow="1" w:lastRow="0" w:firstColumn="1" w:lastColumn="0" w:noHBand="0" w:noVBand="1"/>
      </w:tblPr>
      <w:tblGrid>
        <w:gridCol w:w="7930"/>
        <w:gridCol w:w="709"/>
      </w:tblGrid>
      <w:tr w:rsidR="00C46A9A" w14:paraId="78B2B36B" w14:textId="77777777" w:rsidTr="00E82E89">
        <w:trPr>
          <w:trHeight w:val="540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69" w14:textId="77777777" w:rsidR="00C46A9A" w:rsidRPr="007E78AD" w:rsidRDefault="00C46A9A" w:rsidP="00E82E89">
            <w:pPr>
              <w:jc w:val="both"/>
              <w:rPr>
                <w:b/>
                <w:sz w:val="21"/>
                <w:szCs w:val="21"/>
                <w:u w:val="single"/>
              </w:rPr>
            </w:pPr>
            <w:r w:rsidRPr="00D020A6">
              <w:rPr>
                <w:b/>
                <w:sz w:val="21"/>
                <w:szCs w:val="21"/>
                <w:u w:val="single"/>
              </w:rPr>
              <w:t xml:space="preserve">Criterios mínimos para calificar como </w:t>
            </w:r>
            <w:r>
              <w:rPr>
                <w:b/>
                <w:i/>
                <w:sz w:val="21"/>
                <w:szCs w:val="21"/>
                <w:u w:val="single"/>
              </w:rPr>
              <w:t>significativo</w:t>
            </w:r>
            <w:r>
              <w:rPr>
                <w:b/>
                <w:sz w:val="21"/>
                <w:szCs w:val="21"/>
              </w:rPr>
              <w:t xml:space="preserve"> (deben cumplirse en su totalidad)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6A" w14:textId="77777777" w:rsidR="00C46A9A" w:rsidRPr="00FB560B" w:rsidRDefault="00C46A9A" w:rsidP="00E82E89">
            <w:pPr>
              <w:jc w:val="both"/>
              <w:rPr>
                <w:rFonts w:cs="Arial"/>
                <w:b/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</w:rPr>
              <w:t xml:space="preserve">Sí </w:t>
            </w:r>
            <w:proofErr w:type="gramStart"/>
            <w:r>
              <w:rPr>
                <w:b/>
                <w:sz w:val="21"/>
                <w:szCs w:val="21"/>
              </w:rPr>
              <w:t>( √</w:t>
            </w:r>
            <w:proofErr w:type="gramEnd"/>
            <w:r>
              <w:rPr>
                <w:b/>
                <w:sz w:val="21"/>
                <w:szCs w:val="21"/>
              </w:rPr>
              <w:t xml:space="preserve"> )</w:t>
            </w:r>
          </w:p>
        </w:tc>
      </w:tr>
      <w:tr w:rsidR="00C46A9A" w14:paraId="78B2B36E" w14:textId="77777777" w:rsidTr="00E82E89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6C" w14:textId="77777777" w:rsidR="00C46A9A" w:rsidRPr="00F70CA3" w:rsidRDefault="00C46A9A" w:rsidP="00E82E89">
            <w:pPr>
              <w:pStyle w:val="ListParagraph"/>
              <w:numPr>
                <w:ilvl w:val="0"/>
                <w:numId w:val="14"/>
              </w:numPr>
              <w:ind w:righ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 organismo posee una política o estrategia de género con objetivos e indicadores específicos.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6D" w14:textId="77777777" w:rsidR="00C46A9A" w:rsidRPr="00FB560B" w:rsidRDefault="00C46A9A" w:rsidP="00E82E89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C46A9A" w14:paraId="78B2B371" w14:textId="77777777" w:rsidTr="00E82E89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6F" w14:textId="77777777" w:rsidR="00C46A9A" w:rsidRPr="00F70CA3" w:rsidRDefault="00C46A9A" w:rsidP="00E82E89">
            <w:pPr>
              <w:pStyle w:val="ListParagraph"/>
              <w:numPr>
                <w:ilvl w:val="0"/>
                <w:numId w:val="20"/>
              </w:numPr>
              <w:ind w:left="407" w:right="0" w:hanging="40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 organismo ha establecido una arquitectura de género con recursos humanos y financieros adecuados.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70" w14:textId="77777777" w:rsidR="00C46A9A" w:rsidRPr="00FB560B" w:rsidRDefault="00C46A9A" w:rsidP="00E82E89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C46A9A" w14:paraId="78B2B374" w14:textId="77777777" w:rsidTr="00E82E89">
        <w:trPr>
          <w:trHeight w:val="538"/>
          <w:jc w:val="center"/>
        </w:trPr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2B372" w14:textId="77777777" w:rsidR="00C46A9A" w:rsidRPr="00F70CA3" w:rsidRDefault="00C46A9A" w:rsidP="00E82E89">
            <w:pPr>
              <w:pStyle w:val="ListParagraph"/>
              <w:numPr>
                <w:ilvl w:val="0"/>
                <w:numId w:val="20"/>
              </w:numPr>
              <w:ind w:left="407" w:right="0" w:hanging="407"/>
              <w:jc w:val="both"/>
              <w:rPr>
                <w:b/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El organismo informa sobre sus logros (avances/desafíos) en relación con el enfoque integrador (</w:t>
            </w:r>
            <w:proofErr w:type="spellStart"/>
            <w:r>
              <w:rPr>
                <w:sz w:val="21"/>
                <w:szCs w:val="21"/>
              </w:rPr>
              <w:t>System</w:t>
            </w:r>
            <w:proofErr w:type="spellEnd"/>
            <w:r>
              <w:rPr>
                <w:sz w:val="21"/>
                <w:szCs w:val="21"/>
              </w:rPr>
              <w:t xml:space="preserve">-Wide </w:t>
            </w:r>
            <w:proofErr w:type="spellStart"/>
            <w:r>
              <w:rPr>
                <w:sz w:val="21"/>
                <w:szCs w:val="21"/>
              </w:rPr>
              <w:t>Approach</w:t>
            </w:r>
            <w:proofErr w:type="spellEnd"/>
            <w:r>
              <w:rPr>
                <w:sz w:val="21"/>
                <w:szCs w:val="21"/>
              </w:rPr>
              <w:t xml:space="preserve">) de la ONU sobre igualdad de género o la política/estrategia de género del organismo.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B373" w14:textId="77777777" w:rsidR="00C46A9A" w:rsidRPr="00FB560B" w:rsidRDefault="00C46A9A" w:rsidP="00E82E89">
            <w:pPr>
              <w:pStyle w:val="ListParagraph"/>
              <w:ind w:left="360" w:right="0"/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</w:tbl>
    <w:p w14:paraId="78B2B375" w14:textId="77777777" w:rsidR="00C46A9A" w:rsidRPr="00D05DF9" w:rsidRDefault="00C46A9A" w:rsidP="00C46A9A">
      <w:pPr>
        <w:pStyle w:val="Default"/>
        <w:spacing w:after="120"/>
        <w:rPr>
          <w:rFonts w:ascii="Arial" w:hAnsi="Arial" w:cs="Arial"/>
          <w:iCs/>
          <w:sz w:val="22"/>
          <w:szCs w:val="22"/>
          <w:lang w:val="es-ES_tradnl"/>
        </w:rPr>
      </w:pPr>
    </w:p>
    <w:p w14:paraId="78B2B376" w14:textId="77777777" w:rsidR="00C46A9A" w:rsidRDefault="00C46A9A" w:rsidP="00C46A9A">
      <w:pPr>
        <w:pStyle w:val="Default"/>
        <w:rPr>
          <w:rFonts w:ascii="Arial" w:hAnsi="Arial" w:cs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  <w:u w:val="single"/>
        </w:rPr>
        <w:t>Comentarios</w:t>
      </w:r>
      <w:r w:rsidRPr="00E82E89">
        <w:rPr>
          <w:rFonts w:ascii="Arial" w:hAnsi="Arial"/>
          <w:iCs/>
          <w:sz w:val="22"/>
          <w:szCs w:val="22"/>
        </w:rPr>
        <w:t xml:space="preserve">: </w:t>
      </w:r>
      <w:r w:rsidR="00DE153F">
        <w:rPr>
          <w:rFonts w:ascii="Arial" w:hAnsi="Arial"/>
          <w:iCs/>
          <w:sz w:val="22"/>
          <w:szCs w:val="22"/>
        </w:rPr>
        <w:t>Por favor, a</w:t>
      </w:r>
      <w:r>
        <w:rPr>
          <w:rFonts w:ascii="Arial" w:hAnsi="Arial"/>
          <w:iCs/>
          <w:sz w:val="22"/>
          <w:szCs w:val="22"/>
        </w:rPr>
        <w:t xml:space="preserve">gregue aquí sus comentarios en relación con el puntaje o información pertinente acerca del análisis de género.  </w:t>
      </w:r>
    </w:p>
    <w:p w14:paraId="78B2B377" w14:textId="77777777" w:rsidR="00C46A9A" w:rsidRDefault="00C46A9A" w:rsidP="00C46A9A">
      <w:pPr>
        <w:pStyle w:val="Default"/>
        <w:rPr>
          <w:rFonts w:ascii="Arial" w:hAnsi="Arial" w:cs="Arial"/>
          <w:iCs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47"/>
      </w:tblGrid>
      <w:tr w:rsidR="00C46A9A" w:rsidRPr="001B38DE" w14:paraId="78B2B37C" w14:textId="77777777" w:rsidTr="00E82E89">
        <w:trPr>
          <w:trHeight w:val="415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378" w14:textId="77777777" w:rsidR="00C46A9A" w:rsidRDefault="00C46A9A" w:rsidP="00E82E89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78B2B379" w14:textId="77777777" w:rsidR="00C46A9A" w:rsidRDefault="00C46A9A" w:rsidP="00E82E89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78B2B37A" w14:textId="77777777" w:rsidR="00C46A9A" w:rsidRDefault="00C46A9A" w:rsidP="00E82E89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  <w:p w14:paraId="78B2B37B" w14:textId="77777777" w:rsidR="00C46A9A" w:rsidRDefault="00C46A9A" w:rsidP="00E82E89">
            <w:pPr>
              <w:pStyle w:val="Default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</w:p>
        </w:tc>
      </w:tr>
    </w:tbl>
    <w:p w14:paraId="78B2B37D" w14:textId="77777777" w:rsidR="00C46A9A" w:rsidRDefault="00C46A9A" w:rsidP="00C46A9A">
      <w:pPr>
        <w:pStyle w:val="Default"/>
        <w:spacing w:after="120"/>
        <w:rPr>
          <w:rFonts w:ascii="Arial" w:hAnsi="Arial" w:cs="Arial"/>
          <w:iCs/>
          <w:sz w:val="22"/>
          <w:szCs w:val="22"/>
        </w:rPr>
      </w:pPr>
    </w:p>
    <w:p w14:paraId="78B2B37E" w14:textId="77777777" w:rsidR="00C46A9A" w:rsidRDefault="00C46A9A" w:rsidP="00C46A9A">
      <w:pPr>
        <w:pStyle w:val="Default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78B2B37F" w14:textId="77777777" w:rsidR="00C46A9A" w:rsidRDefault="00C46A9A" w:rsidP="00C46A9A">
      <w:pPr>
        <w:pStyle w:val="Default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El puntaje para ser calificado como </w:t>
      </w:r>
      <w:r>
        <w:rPr>
          <w:rFonts w:ascii="Arial" w:hAnsi="Arial"/>
          <w:b/>
          <w:i/>
          <w:iCs/>
          <w:sz w:val="22"/>
          <w:szCs w:val="22"/>
        </w:rPr>
        <w:t>principal</w:t>
      </w:r>
      <w:r>
        <w:rPr>
          <w:rFonts w:ascii="Arial" w:hAnsi="Arial"/>
          <w:iCs/>
          <w:sz w:val="22"/>
          <w:szCs w:val="22"/>
        </w:rPr>
        <w:t xml:space="preserve"> se aplica por defecto a:</w:t>
      </w:r>
    </w:p>
    <w:p w14:paraId="78B2B380" w14:textId="77777777" w:rsidR="00C46A9A" w:rsidRPr="00DE153F" w:rsidRDefault="00C46A9A" w:rsidP="00C46A9A">
      <w:pPr>
        <w:pStyle w:val="Default"/>
        <w:numPr>
          <w:ilvl w:val="0"/>
          <w:numId w:val="21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ONU-Mujeres y</w:t>
      </w:r>
      <w:r w:rsidR="00DE153F">
        <w:rPr>
          <w:rFonts w:ascii="Arial" w:hAnsi="Arial"/>
          <w:iCs/>
          <w:sz w:val="22"/>
          <w:szCs w:val="22"/>
        </w:rPr>
        <w:t xml:space="preserve"> </w:t>
      </w:r>
      <w:r w:rsidR="00DE153F" w:rsidRPr="00DE153F">
        <w:rPr>
          <w:rFonts w:ascii="Arial" w:hAnsi="Arial" w:cs="Arial"/>
          <w:iCs/>
          <w:sz w:val="22"/>
          <w:szCs w:val="22"/>
        </w:rPr>
        <w:t>el</w:t>
      </w:r>
      <w:r w:rsidRPr="00DE153F">
        <w:rPr>
          <w:rFonts w:ascii="Arial" w:hAnsi="Arial" w:cs="Arial"/>
          <w:iCs/>
          <w:sz w:val="22"/>
          <w:szCs w:val="22"/>
        </w:rPr>
        <w:t xml:space="preserve"> </w:t>
      </w:r>
      <w:r w:rsidR="00DE153F" w:rsidRPr="00382CCC">
        <w:rPr>
          <w:rStyle w:val="text18"/>
          <w:rFonts w:ascii="Arial" w:hAnsi="Arial" w:cs="Arial" w:hint="eastAsia"/>
          <w:sz w:val="22"/>
          <w:szCs w:val="22"/>
        </w:rPr>
        <w:t xml:space="preserve">Fondo de </w:t>
      </w:r>
      <w:proofErr w:type="spellStart"/>
      <w:r w:rsidR="00DE153F" w:rsidRPr="00382CCC">
        <w:rPr>
          <w:rStyle w:val="text18"/>
          <w:rFonts w:ascii="Arial" w:hAnsi="Arial" w:cs="Arial" w:hint="eastAsia"/>
          <w:sz w:val="22"/>
          <w:szCs w:val="22"/>
        </w:rPr>
        <w:t>Poblaci</w:t>
      </w:r>
      <w:proofErr w:type="spellEnd"/>
      <w:r w:rsidR="00DE153F" w:rsidRPr="00382CCC">
        <w:rPr>
          <w:rStyle w:val="text18"/>
          <w:rFonts w:ascii="Arial" w:hAnsi="Arial" w:cs="Arial" w:hint="eastAsia"/>
          <w:sz w:val="22"/>
          <w:szCs w:val="22"/>
        </w:rPr>
        <w:t>ó</w:t>
      </w:r>
      <w:r w:rsidR="00DE153F" w:rsidRPr="00382CCC">
        <w:rPr>
          <w:rStyle w:val="text18"/>
          <w:rFonts w:ascii="Arial" w:hAnsi="Arial" w:cs="Arial" w:hint="eastAsia"/>
          <w:sz w:val="22"/>
          <w:szCs w:val="22"/>
        </w:rPr>
        <w:t xml:space="preserve">n de las </w:t>
      </w:r>
      <w:r w:rsidR="00DE153F" w:rsidRPr="00382CCC">
        <w:rPr>
          <w:rStyle w:val="Emphasis"/>
          <w:rFonts w:ascii="Arial" w:hAnsi="Arial" w:cs="Arial" w:hint="eastAsia"/>
          <w:sz w:val="22"/>
          <w:szCs w:val="22"/>
        </w:rPr>
        <w:t xml:space="preserve">Naciones Unidas (UNFPA) </w:t>
      </w:r>
      <w:r w:rsidR="00DE153F" w:rsidRPr="00DE153F">
        <w:rPr>
          <w:rFonts w:ascii="Arial" w:hAnsi="Arial" w:cs="Arial"/>
          <w:iCs/>
          <w:sz w:val="22"/>
          <w:szCs w:val="22"/>
        </w:rPr>
        <w:t>(multilateral)</w:t>
      </w:r>
    </w:p>
    <w:p w14:paraId="78B2B381" w14:textId="77777777" w:rsidR="00C46A9A" w:rsidRDefault="00C46A9A" w:rsidP="00C46A9A">
      <w:pPr>
        <w:pStyle w:val="Default"/>
        <w:numPr>
          <w:ilvl w:val="0"/>
          <w:numId w:val="21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 xml:space="preserve">Organizaciones contrapartes con un enfoque de género específico </w:t>
      </w:r>
    </w:p>
    <w:p w14:paraId="78B2B382" w14:textId="77777777" w:rsidR="00C46A9A" w:rsidRPr="00487C31" w:rsidRDefault="00C46A9A" w:rsidP="00C46A9A">
      <w:pPr>
        <w:pStyle w:val="Default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Los criterios mínimos definidos anteriormente sirven también para el aseguramiento de la calidad por parte de estos organismos.</w:t>
      </w:r>
    </w:p>
    <w:sectPr w:rsidR="00C46A9A" w:rsidRPr="00487C31" w:rsidSect="00F36756">
      <w:headerReference w:type="default" r:id="rId8"/>
      <w:pgSz w:w="11907" w:h="16840" w:code="9"/>
      <w:pgMar w:top="1021" w:right="1440" w:bottom="851" w:left="1440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B385" w14:textId="77777777" w:rsidR="00591057" w:rsidRDefault="00591057">
      <w:r>
        <w:separator/>
      </w:r>
    </w:p>
  </w:endnote>
  <w:endnote w:type="continuationSeparator" w:id="0">
    <w:p w14:paraId="78B2B386" w14:textId="77777777" w:rsidR="00591057" w:rsidRDefault="0059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ecilia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B383" w14:textId="77777777" w:rsidR="00591057" w:rsidRDefault="00591057">
      <w:r>
        <w:separator/>
      </w:r>
    </w:p>
  </w:footnote>
  <w:footnote w:type="continuationSeparator" w:id="0">
    <w:p w14:paraId="78B2B384" w14:textId="77777777" w:rsidR="00591057" w:rsidRDefault="00591057">
      <w:r>
        <w:continuationSeparator/>
      </w:r>
    </w:p>
  </w:footnote>
  <w:footnote w:id="1">
    <w:p w14:paraId="78B2B38A" w14:textId="77777777" w:rsidR="00C46A9A" w:rsidRDefault="00C46A9A" w:rsidP="00C46A9A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/>
          <w:sz w:val="18"/>
          <w:szCs w:val="18"/>
        </w:rPr>
        <w:t xml:space="preserve">La lista de control se basa en la guía del CAD de la OCDE </w:t>
      </w:r>
      <w:r>
        <w:rPr>
          <w:rFonts w:ascii="Arial" w:hAnsi="Arial"/>
          <w:i/>
          <w:sz w:val="18"/>
          <w:szCs w:val="18"/>
        </w:rPr>
        <w:t>«Definición y criterios mínimos recomendados por el CAD para el indicador de políticas de igualdad de género del CAD»</w:t>
      </w:r>
      <w:r>
        <w:rPr>
          <w:rFonts w:ascii="Arial" w:hAnsi="Arial"/>
          <w:sz w:val="18"/>
          <w:szCs w:val="18"/>
        </w:rPr>
        <w:t xml:space="preserve"> </w:t>
      </w:r>
      <w:r w:rsidRPr="007B0070">
        <w:rPr>
          <w:rFonts w:ascii="Arial" w:hAnsi="Arial"/>
          <w:iCs/>
          <w:sz w:val="18"/>
          <w:szCs w:val="18"/>
        </w:rPr>
        <w:t>y el correspondiente</w:t>
      </w:r>
      <w:r>
        <w:rPr>
          <w:rFonts w:ascii="Arial" w:hAnsi="Arial"/>
          <w:i/>
          <w:iCs/>
          <w:sz w:val="18"/>
          <w:szCs w:val="18"/>
        </w:rPr>
        <w:t xml:space="preserve"> «Manual del CAD-OCDE sobre el indicador de políticas de igualdad de género»</w:t>
      </w:r>
      <w:r w:rsidR="007B0070">
        <w:rPr>
          <w:rFonts w:ascii="Arial" w:hAnsi="Arial"/>
          <w:i/>
          <w:iCs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(diciembre de 2016)</w:t>
      </w:r>
      <w:r>
        <w:rPr>
          <w:rFonts w:ascii="Arial" w:hAnsi="Arial"/>
          <w:i/>
          <w:iCs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 xml:space="preserve"> Hallará la lista de control y los documentos del CAD de la OCDE en el </w:t>
      </w:r>
      <w:proofErr w:type="spellStart"/>
      <w:r>
        <w:rPr>
          <w:rFonts w:ascii="Arial" w:hAnsi="Arial"/>
          <w:sz w:val="18"/>
          <w:szCs w:val="18"/>
        </w:rPr>
        <w:t>Gender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Shareweb</w:t>
      </w:r>
      <w:proofErr w:type="spellEnd"/>
      <w:r>
        <w:rPr>
          <w:rFonts w:ascii="Arial" w:hAnsi="Arial"/>
          <w:sz w:val="18"/>
          <w:szCs w:val="18"/>
        </w:rPr>
        <w:t xml:space="preserve"> de la COSUDE:  </w:t>
      </w:r>
      <w:hyperlink r:id="rId1" w:history="1">
        <w:r>
          <w:rPr>
            <w:rStyle w:val="Hyperlink"/>
            <w:rFonts w:ascii="Arial" w:hAnsi="Arial"/>
            <w:sz w:val="18"/>
            <w:szCs w:val="18"/>
          </w:rPr>
          <w:t xml:space="preserve">https://www.shareweb.ch/site/Gender/Pages/Content/featured-profile.aspx?item1=Gender </w:t>
        </w:r>
        <w:proofErr w:type="spellStart"/>
        <w:r>
          <w:rPr>
            <w:rStyle w:val="Hyperlink"/>
            <w:rFonts w:ascii="Arial" w:hAnsi="Arial"/>
            <w:sz w:val="18"/>
            <w:szCs w:val="18"/>
          </w:rPr>
          <w:t>Policy</w:t>
        </w:r>
        <w:proofErr w:type="spellEnd"/>
        <w:r>
          <w:rPr>
            <w:rStyle w:val="Hyperlink"/>
            <w:rFonts w:ascii="Arial" w:hAnsi="Arial"/>
            <w:sz w:val="18"/>
            <w:szCs w:val="18"/>
          </w:rPr>
          <w:t xml:space="preserve"> </w:t>
        </w:r>
        <w:proofErr w:type="spellStart"/>
        <w:r>
          <w:rPr>
            <w:rStyle w:val="Hyperlink"/>
            <w:rFonts w:ascii="Arial" w:hAnsi="Arial"/>
            <w:sz w:val="18"/>
            <w:szCs w:val="18"/>
          </w:rPr>
          <w:t>Marker</w:t>
        </w:r>
        <w:proofErr w:type="spellEnd"/>
      </w:hyperlink>
    </w:p>
    <w:p w14:paraId="78B2B38B" w14:textId="77777777" w:rsidR="00C46A9A" w:rsidRPr="00D05DF9" w:rsidRDefault="00C46A9A" w:rsidP="00C46A9A">
      <w:pPr>
        <w:pStyle w:val="FootnoteText"/>
        <w:rPr>
          <w:rFonts w:ascii="Arial" w:hAnsi="Arial" w:cs="Arial"/>
          <w:sz w:val="18"/>
          <w:szCs w:val="18"/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B387" w14:textId="77777777" w:rsidR="00752C1D" w:rsidRDefault="00752C1D" w:rsidP="00752C1D">
    <w:pPr>
      <w:pStyle w:val="Header"/>
      <w:jc w:val="left"/>
    </w:pPr>
    <w:r>
      <w:rPr>
        <w:noProof/>
        <w:lang w:eastAsia="es-ES"/>
      </w:rPr>
      <w:drawing>
        <wp:inline distT="0" distB="0" distL="0" distR="0" wp14:anchorId="78B2B388" wp14:editId="78B2B389">
          <wp:extent cx="1444402" cy="354156"/>
          <wp:effectExtent l="0" t="0" r="3810" b="8255"/>
          <wp:docPr id="2" name="Picture 2" descr="Bund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nd_RGB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471" cy="355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997"/>
    <w:multiLevelType w:val="hybridMultilevel"/>
    <w:tmpl w:val="581EF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2" w15:restartNumberingAfterBreak="0">
    <w:nsid w:val="09263601"/>
    <w:multiLevelType w:val="hybridMultilevel"/>
    <w:tmpl w:val="CD667DB0"/>
    <w:lvl w:ilvl="0" w:tplc="ED78B3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8F0253"/>
    <w:multiLevelType w:val="hybridMultilevel"/>
    <w:tmpl w:val="D14E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5" w15:restartNumberingAfterBreak="0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6" w15:restartNumberingAfterBreak="0">
    <w:nsid w:val="1CC90556"/>
    <w:multiLevelType w:val="hybridMultilevel"/>
    <w:tmpl w:val="B5FC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A6AC8"/>
    <w:multiLevelType w:val="hybridMultilevel"/>
    <w:tmpl w:val="ABAC81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E75662"/>
    <w:multiLevelType w:val="hybridMultilevel"/>
    <w:tmpl w:val="83A4A19A"/>
    <w:lvl w:ilvl="0" w:tplc="578043E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39DA0F8B"/>
    <w:multiLevelType w:val="hybridMultilevel"/>
    <w:tmpl w:val="F4F2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37FDD"/>
    <w:multiLevelType w:val="hybridMultilevel"/>
    <w:tmpl w:val="3C448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55C04"/>
    <w:multiLevelType w:val="hybridMultilevel"/>
    <w:tmpl w:val="ADA6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0288E"/>
    <w:multiLevelType w:val="hybridMultilevel"/>
    <w:tmpl w:val="18F00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573FF6"/>
    <w:multiLevelType w:val="multilevel"/>
    <w:tmpl w:val="870A0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687A34"/>
    <w:multiLevelType w:val="hybridMultilevel"/>
    <w:tmpl w:val="C7B6065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7777DB"/>
    <w:multiLevelType w:val="hybridMultilevel"/>
    <w:tmpl w:val="80DE3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B676C"/>
    <w:multiLevelType w:val="hybridMultilevel"/>
    <w:tmpl w:val="0E88C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90259B"/>
    <w:multiLevelType w:val="hybridMultilevel"/>
    <w:tmpl w:val="BEC6666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6E34177D"/>
    <w:multiLevelType w:val="hybridMultilevel"/>
    <w:tmpl w:val="968ACC0C"/>
    <w:lvl w:ilvl="0" w:tplc="04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9" w15:restartNumberingAfterBreak="0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abstractNum w:abstractNumId="20" w15:restartNumberingAfterBreak="0">
    <w:nsid w:val="7F9E1C49"/>
    <w:multiLevelType w:val="hybridMultilevel"/>
    <w:tmpl w:val="8A9A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9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8"/>
  </w:num>
  <w:num w:numId="8">
    <w:abstractNumId w:val="20"/>
  </w:num>
  <w:num w:numId="9">
    <w:abstractNumId w:val="0"/>
  </w:num>
  <w:num w:numId="10">
    <w:abstractNumId w:val="10"/>
  </w:num>
  <w:num w:numId="11">
    <w:abstractNumId w:val="11"/>
  </w:num>
  <w:num w:numId="12">
    <w:abstractNumId w:val="16"/>
  </w:num>
  <w:num w:numId="13">
    <w:abstractNumId w:val="14"/>
  </w:num>
  <w:num w:numId="14">
    <w:abstractNumId w:val="12"/>
  </w:num>
  <w:num w:numId="15">
    <w:abstractNumId w:val="17"/>
  </w:num>
  <w:num w:numId="16">
    <w:abstractNumId w:val="13"/>
  </w:num>
  <w:num w:numId="17">
    <w:abstractNumId w:val="9"/>
  </w:num>
  <w:num w:numId="18">
    <w:abstractNumId w:val="2"/>
  </w:num>
  <w:num w:numId="19">
    <w:abstractNumId w:val="3"/>
  </w:num>
  <w:num w:numId="20">
    <w:abstractNumId w:val="15"/>
  </w:num>
  <w:num w:numId="21">
    <w:abstractNumId w:val="6"/>
  </w:num>
  <w:num w:numId="2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88A"/>
    <w:rsid w:val="000069C8"/>
    <w:rsid w:val="000124D8"/>
    <w:rsid w:val="000235B8"/>
    <w:rsid w:val="00025995"/>
    <w:rsid w:val="00036D7B"/>
    <w:rsid w:val="00053098"/>
    <w:rsid w:val="000579DB"/>
    <w:rsid w:val="000663AA"/>
    <w:rsid w:val="00074361"/>
    <w:rsid w:val="00075DD4"/>
    <w:rsid w:val="000830D3"/>
    <w:rsid w:val="00095E24"/>
    <w:rsid w:val="000B6A66"/>
    <w:rsid w:val="000C379F"/>
    <w:rsid w:val="000C7DCA"/>
    <w:rsid w:val="001018C1"/>
    <w:rsid w:val="00113D83"/>
    <w:rsid w:val="00117C46"/>
    <w:rsid w:val="00125BF4"/>
    <w:rsid w:val="00125E9C"/>
    <w:rsid w:val="00136234"/>
    <w:rsid w:val="00137B2B"/>
    <w:rsid w:val="00142FA8"/>
    <w:rsid w:val="0014327D"/>
    <w:rsid w:val="00143CEE"/>
    <w:rsid w:val="00147A57"/>
    <w:rsid w:val="001545B6"/>
    <w:rsid w:val="001567E0"/>
    <w:rsid w:val="00162075"/>
    <w:rsid w:val="00176B62"/>
    <w:rsid w:val="001779B8"/>
    <w:rsid w:val="00180C1B"/>
    <w:rsid w:val="00194E1F"/>
    <w:rsid w:val="001A4E5E"/>
    <w:rsid w:val="001A7506"/>
    <w:rsid w:val="001B1E80"/>
    <w:rsid w:val="001B28B7"/>
    <w:rsid w:val="001B38DE"/>
    <w:rsid w:val="001C26E7"/>
    <w:rsid w:val="001C33CB"/>
    <w:rsid w:val="001D04CF"/>
    <w:rsid w:val="001D59F5"/>
    <w:rsid w:val="001E23FF"/>
    <w:rsid w:val="001E6879"/>
    <w:rsid w:val="00206300"/>
    <w:rsid w:val="00217024"/>
    <w:rsid w:val="00217AA5"/>
    <w:rsid w:val="002200CB"/>
    <w:rsid w:val="002202C9"/>
    <w:rsid w:val="00235850"/>
    <w:rsid w:val="0023605F"/>
    <w:rsid w:val="00242EED"/>
    <w:rsid w:val="00246F40"/>
    <w:rsid w:val="002514AA"/>
    <w:rsid w:val="00265C8D"/>
    <w:rsid w:val="00281C11"/>
    <w:rsid w:val="00281EC0"/>
    <w:rsid w:val="0028733B"/>
    <w:rsid w:val="002A38F1"/>
    <w:rsid w:val="002B4F27"/>
    <w:rsid w:val="002C1EEC"/>
    <w:rsid w:val="002D62E8"/>
    <w:rsid w:val="002E0AD3"/>
    <w:rsid w:val="002E2C9B"/>
    <w:rsid w:val="002F0088"/>
    <w:rsid w:val="002F2DE5"/>
    <w:rsid w:val="00311907"/>
    <w:rsid w:val="003132A3"/>
    <w:rsid w:val="00317B7B"/>
    <w:rsid w:val="00330F50"/>
    <w:rsid w:val="0033270D"/>
    <w:rsid w:val="0034467B"/>
    <w:rsid w:val="00345274"/>
    <w:rsid w:val="00355BC2"/>
    <w:rsid w:val="00356473"/>
    <w:rsid w:val="00361440"/>
    <w:rsid w:val="003645D0"/>
    <w:rsid w:val="00364E08"/>
    <w:rsid w:val="003707C8"/>
    <w:rsid w:val="00382B0E"/>
    <w:rsid w:val="00382CCC"/>
    <w:rsid w:val="00385B0E"/>
    <w:rsid w:val="00387147"/>
    <w:rsid w:val="00396572"/>
    <w:rsid w:val="003A0B06"/>
    <w:rsid w:val="003A2E6A"/>
    <w:rsid w:val="003A4E0A"/>
    <w:rsid w:val="003B0AFB"/>
    <w:rsid w:val="003B28EB"/>
    <w:rsid w:val="003B5999"/>
    <w:rsid w:val="003C7402"/>
    <w:rsid w:val="003E38ED"/>
    <w:rsid w:val="003F231B"/>
    <w:rsid w:val="003F388A"/>
    <w:rsid w:val="00401D61"/>
    <w:rsid w:val="00406D5C"/>
    <w:rsid w:val="004254DA"/>
    <w:rsid w:val="0043190D"/>
    <w:rsid w:val="00453BEF"/>
    <w:rsid w:val="00467906"/>
    <w:rsid w:val="00476B03"/>
    <w:rsid w:val="00480EEC"/>
    <w:rsid w:val="00483FAE"/>
    <w:rsid w:val="00487C31"/>
    <w:rsid w:val="0049033B"/>
    <w:rsid w:val="00497AA7"/>
    <w:rsid w:val="004D3C5B"/>
    <w:rsid w:val="004E1E5C"/>
    <w:rsid w:val="0050187E"/>
    <w:rsid w:val="005032FD"/>
    <w:rsid w:val="00514851"/>
    <w:rsid w:val="00517A85"/>
    <w:rsid w:val="00530537"/>
    <w:rsid w:val="00536BAE"/>
    <w:rsid w:val="00537DC6"/>
    <w:rsid w:val="005440AE"/>
    <w:rsid w:val="00544864"/>
    <w:rsid w:val="005466E0"/>
    <w:rsid w:val="00552FB4"/>
    <w:rsid w:val="00556EED"/>
    <w:rsid w:val="00562699"/>
    <w:rsid w:val="005763D5"/>
    <w:rsid w:val="00591057"/>
    <w:rsid w:val="005921F9"/>
    <w:rsid w:val="00597075"/>
    <w:rsid w:val="005A06E0"/>
    <w:rsid w:val="005B5779"/>
    <w:rsid w:val="005B711F"/>
    <w:rsid w:val="005C15C5"/>
    <w:rsid w:val="005C6A4E"/>
    <w:rsid w:val="005E7E87"/>
    <w:rsid w:val="005F0C82"/>
    <w:rsid w:val="00600DAE"/>
    <w:rsid w:val="00615FA5"/>
    <w:rsid w:val="00616296"/>
    <w:rsid w:val="006163AD"/>
    <w:rsid w:val="00624A2E"/>
    <w:rsid w:val="00633061"/>
    <w:rsid w:val="00642600"/>
    <w:rsid w:val="00642676"/>
    <w:rsid w:val="00662B19"/>
    <w:rsid w:val="006641E8"/>
    <w:rsid w:val="00683078"/>
    <w:rsid w:val="0068340B"/>
    <w:rsid w:val="0069419F"/>
    <w:rsid w:val="006959D4"/>
    <w:rsid w:val="006A3660"/>
    <w:rsid w:val="006A7644"/>
    <w:rsid w:val="006A77B2"/>
    <w:rsid w:val="006B0C5E"/>
    <w:rsid w:val="006B4479"/>
    <w:rsid w:val="006C4656"/>
    <w:rsid w:val="006C76BD"/>
    <w:rsid w:val="006E4A70"/>
    <w:rsid w:val="006F0E17"/>
    <w:rsid w:val="006F3606"/>
    <w:rsid w:val="006F38F1"/>
    <w:rsid w:val="006F554B"/>
    <w:rsid w:val="00700C28"/>
    <w:rsid w:val="00705590"/>
    <w:rsid w:val="00706EB7"/>
    <w:rsid w:val="00710685"/>
    <w:rsid w:val="00711944"/>
    <w:rsid w:val="00712626"/>
    <w:rsid w:val="00720DC9"/>
    <w:rsid w:val="00731CD0"/>
    <w:rsid w:val="007323D0"/>
    <w:rsid w:val="00737C62"/>
    <w:rsid w:val="007427F5"/>
    <w:rsid w:val="00742AF4"/>
    <w:rsid w:val="00742E61"/>
    <w:rsid w:val="00752C1D"/>
    <w:rsid w:val="007552B7"/>
    <w:rsid w:val="00770489"/>
    <w:rsid w:val="00774024"/>
    <w:rsid w:val="00774408"/>
    <w:rsid w:val="00775D40"/>
    <w:rsid w:val="00781A11"/>
    <w:rsid w:val="00782DC4"/>
    <w:rsid w:val="007940BD"/>
    <w:rsid w:val="00795325"/>
    <w:rsid w:val="00795E1D"/>
    <w:rsid w:val="007B0070"/>
    <w:rsid w:val="007B6835"/>
    <w:rsid w:val="007D2537"/>
    <w:rsid w:val="007D57E9"/>
    <w:rsid w:val="007E4F9F"/>
    <w:rsid w:val="007E78AD"/>
    <w:rsid w:val="0080125E"/>
    <w:rsid w:val="00812F3B"/>
    <w:rsid w:val="0083471A"/>
    <w:rsid w:val="00835EAF"/>
    <w:rsid w:val="008442AF"/>
    <w:rsid w:val="00850DFF"/>
    <w:rsid w:val="008666EE"/>
    <w:rsid w:val="00870243"/>
    <w:rsid w:val="00874479"/>
    <w:rsid w:val="00884D82"/>
    <w:rsid w:val="0089067D"/>
    <w:rsid w:val="00891259"/>
    <w:rsid w:val="00895304"/>
    <w:rsid w:val="008A3769"/>
    <w:rsid w:val="008A59FF"/>
    <w:rsid w:val="008C7938"/>
    <w:rsid w:val="008D6498"/>
    <w:rsid w:val="008D7AB3"/>
    <w:rsid w:val="009214A8"/>
    <w:rsid w:val="0093094F"/>
    <w:rsid w:val="0093387F"/>
    <w:rsid w:val="00933F8C"/>
    <w:rsid w:val="00945753"/>
    <w:rsid w:val="009723EF"/>
    <w:rsid w:val="009753DC"/>
    <w:rsid w:val="009878AC"/>
    <w:rsid w:val="00991559"/>
    <w:rsid w:val="00992DB6"/>
    <w:rsid w:val="009946B4"/>
    <w:rsid w:val="00995066"/>
    <w:rsid w:val="0099513A"/>
    <w:rsid w:val="009A1953"/>
    <w:rsid w:val="009B6F2A"/>
    <w:rsid w:val="009D59FE"/>
    <w:rsid w:val="009E3A68"/>
    <w:rsid w:val="00A0754E"/>
    <w:rsid w:val="00A11869"/>
    <w:rsid w:val="00A23324"/>
    <w:rsid w:val="00A26DD7"/>
    <w:rsid w:val="00A30785"/>
    <w:rsid w:val="00A4029A"/>
    <w:rsid w:val="00A46638"/>
    <w:rsid w:val="00A52A90"/>
    <w:rsid w:val="00A548B5"/>
    <w:rsid w:val="00A82F66"/>
    <w:rsid w:val="00A82F9E"/>
    <w:rsid w:val="00A868EF"/>
    <w:rsid w:val="00AA40A6"/>
    <w:rsid w:val="00AC718A"/>
    <w:rsid w:val="00AC7B7C"/>
    <w:rsid w:val="00AD2EC8"/>
    <w:rsid w:val="00AE327A"/>
    <w:rsid w:val="00AF1CD3"/>
    <w:rsid w:val="00B03E1C"/>
    <w:rsid w:val="00B11BD4"/>
    <w:rsid w:val="00B33982"/>
    <w:rsid w:val="00B3461A"/>
    <w:rsid w:val="00B63D5B"/>
    <w:rsid w:val="00B84ACE"/>
    <w:rsid w:val="00B90EEC"/>
    <w:rsid w:val="00B95382"/>
    <w:rsid w:val="00BA23EA"/>
    <w:rsid w:val="00BC157D"/>
    <w:rsid w:val="00BE2D89"/>
    <w:rsid w:val="00C00223"/>
    <w:rsid w:val="00C101AC"/>
    <w:rsid w:val="00C11E0D"/>
    <w:rsid w:val="00C14945"/>
    <w:rsid w:val="00C1549B"/>
    <w:rsid w:val="00C2305B"/>
    <w:rsid w:val="00C323BF"/>
    <w:rsid w:val="00C37E82"/>
    <w:rsid w:val="00C46A9A"/>
    <w:rsid w:val="00C514F6"/>
    <w:rsid w:val="00C66001"/>
    <w:rsid w:val="00C714FC"/>
    <w:rsid w:val="00C71F65"/>
    <w:rsid w:val="00C73154"/>
    <w:rsid w:val="00CA6338"/>
    <w:rsid w:val="00CB2986"/>
    <w:rsid w:val="00CC5433"/>
    <w:rsid w:val="00CF48CA"/>
    <w:rsid w:val="00CF6978"/>
    <w:rsid w:val="00D020A6"/>
    <w:rsid w:val="00D045C0"/>
    <w:rsid w:val="00D057B2"/>
    <w:rsid w:val="00D05DF9"/>
    <w:rsid w:val="00D1754E"/>
    <w:rsid w:val="00D214FD"/>
    <w:rsid w:val="00D22F30"/>
    <w:rsid w:val="00D31F3A"/>
    <w:rsid w:val="00D46366"/>
    <w:rsid w:val="00D616E8"/>
    <w:rsid w:val="00D632E3"/>
    <w:rsid w:val="00D634FA"/>
    <w:rsid w:val="00D82A3A"/>
    <w:rsid w:val="00D87577"/>
    <w:rsid w:val="00D87749"/>
    <w:rsid w:val="00D9559E"/>
    <w:rsid w:val="00DA14A7"/>
    <w:rsid w:val="00DB0741"/>
    <w:rsid w:val="00DB24A1"/>
    <w:rsid w:val="00DB5DFE"/>
    <w:rsid w:val="00DB7E31"/>
    <w:rsid w:val="00DC0ECD"/>
    <w:rsid w:val="00DC621A"/>
    <w:rsid w:val="00DE153F"/>
    <w:rsid w:val="00DE721C"/>
    <w:rsid w:val="00DF6B81"/>
    <w:rsid w:val="00E1146C"/>
    <w:rsid w:val="00E115D1"/>
    <w:rsid w:val="00E1453B"/>
    <w:rsid w:val="00E15A41"/>
    <w:rsid w:val="00E15DA9"/>
    <w:rsid w:val="00E16D25"/>
    <w:rsid w:val="00E2707F"/>
    <w:rsid w:val="00E275D7"/>
    <w:rsid w:val="00E43E38"/>
    <w:rsid w:val="00E70018"/>
    <w:rsid w:val="00E805DA"/>
    <w:rsid w:val="00E912CF"/>
    <w:rsid w:val="00EA21F7"/>
    <w:rsid w:val="00EA38FF"/>
    <w:rsid w:val="00EB23A9"/>
    <w:rsid w:val="00EB4D42"/>
    <w:rsid w:val="00EE6679"/>
    <w:rsid w:val="00EF17BD"/>
    <w:rsid w:val="00F152C2"/>
    <w:rsid w:val="00F21CC7"/>
    <w:rsid w:val="00F21F16"/>
    <w:rsid w:val="00F22FCD"/>
    <w:rsid w:val="00F263C4"/>
    <w:rsid w:val="00F36756"/>
    <w:rsid w:val="00F36C9B"/>
    <w:rsid w:val="00F408B2"/>
    <w:rsid w:val="00F42BD8"/>
    <w:rsid w:val="00F437EC"/>
    <w:rsid w:val="00F606B7"/>
    <w:rsid w:val="00F70CA3"/>
    <w:rsid w:val="00F747DD"/>
    <w:rsid w:val="00F774E9"/>
    <w:rsid w:val="00F830A6"/>
    <w:rsid w:val="00F85329"/>
    <w:rsid w:val="00F935E3"/>
    <w:rsid w:val="00FA6932"/>
    <w:rsid w:val="00FB157D"/>
    <w:rsid w:val="00FB2348"/>
    <w:rsid w:val="00FB3AF9"/>
    <w:rsid w:val="00FB5101"/>
    <w:rsid w:val="00FB560B"/>
    <w:rsid w:val="00FB7FC3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8B2B2FF"/>
  <w15:docId w15:val="{F57ACEF6-AFC4-4984-A783-5FE2B5DC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s-ES" w:eastAsia="zh-CN" w:bidi="ar-SA"/>
      </w:rPr>
    </w:rPrDefault>
    <w:pPrDefault>
      <w:pPr>
        <w:ind w:left="57" w:right="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061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s-E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s-E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s-E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s-E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s-E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388A"/>
    <w:pPr>
      <w:ind w:left="720"/>
      <w:contextualSpacing/>
    </w:pPr>
  </w:style>
  <w:style w:type="paragraph" w:customStyle="1" w:styleId="Default">
    <w:name w:val="Default"/>
    <w:rsid w:val="00705590"/>
    <w:pPr>
      <w:autoSpaceDE w:val="0"/>
      <w:autoSpaceDN w:val="0"/>
      <w:adjustRightInd w:val="0"/>
      <w:ind w:left="0" w:right="0"/>
      <w:jc w:val="left"/>
    </w:pPr>
    <w:rPr>
      <w:rFonts w:ascii="Caecilia Roman" w:hAnsi="Caecilia Roman" w:cs="Caecilia Roman"/>
      <w:color w:val="000000"/>
      <w:sz w:val="24"/>
      <w:szCs w:val="24"/>
    </w:rPr>
  </w:style>
  <w:style w:type="character" w:customStyle="1" w:styleId="A0">
    <w:name w:val="A0"/>
    <w:uiPriority w:val="99"/>
    <w:rsid w:val="00705590"/>
    <w:rPr>
      <w:rFonts w:cs="Caecilia Roman"/>
      <w:b/>
      <w:bCs/>
      <w:color w:val="000000"/>
      <w:sz w:val="34"/>
      <w:szCs w:val="34"/>
    </w:rPr>
  </w:style>
  <w:style w:type="table" w:styleId="TableGrid">
    <w:name w:val="Table Grid"/>
    <w:basedOn w:val="TableNormal"/>
    <w:uiPriority w:val="59"/>
    <w:rsid w:val="00705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705590"/>
    <w:pPr>
      <w:spacing w:line="201" w:lineRule="atLeast"/>
    </w:pPr>
    <w:rPr>
      <w:rFonts w:ascii="HelveticaNeueLT Std Cn" w:hAnsi="HelveticaNeueLT Std Cn" w:cs="Times New Roman"/>
      <w:color w:val="auto"/>
    </w:rPr>
  </w:style>
  <w:style w:type="character" w:customStyle="1" w:styleId="A2">
    <w:name w:val="A2"/>
    <w:uiPriority w:val="99"/>
    <w:rsid w:val="00705590"/>
    <w:rPr>
      <w:rFonts w:cs="HelveticaNeueLT Std Cn"/>
      <w:color w:val="000000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B560B"/>
    <w:rPr>
      <w:rFonts w:ascii="Arial" w:hAnsi="Arial"/>
      <w:szCs w:val="24"/>
      <w:lang w:val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560B"/>
    <w:pPr>
      <w:ind w:left="0" w:right="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560B"/>
    <w:rPr>
      <w:rFonts w:asciiTheme="minorHAnsi" w:eastAsiaTheme="minorHAnsi" w:hAnsiTheme="minorHAnsi" w:cstheme="minorBidi"/>
      <w:lang w:val="es-E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B560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F6"/>
    <w:rPr>
      <w:rFonts w:ascii="Tahoma" w:hAnsi="Tahoma" w:cs="Tahoma"/>
      <w:sz w:val="16"/>
      <w:szCs w:val="16"/>
      <w:lang w:val="es-ES"/>
    </w:rPr>
  </w:style>
  <w:style w:type="character" w:styleId="Hyperlink">
    <w:name w:val="Hyperlink"/>
    <w:basedOn w:val="DefaultParagraphFont"/>
    <w:uiPriority w:val="99"/>
    <w:unhideWhenUsed/>
    <w:rsid w:val="00F263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F9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E153F"/>
    <w:rPr>
      <w:i/>
      <w:iCs/>
    </w:rPr>
  </w:style>
  <w:style w:type="character" w:customStyle="1" w:styleId="text18">
    <w:name w:val="text18"/>
    <w:basedOn w:val="DefaultParagraphFont"/>
    <w:rsid w:val="00DE1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hareweb.ch/site/Gender/Pages/Content/featured-profile.aspx?item1=Gender%20Policy%20Mark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D74C-DA6C-4810-8EB3-E0973142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7560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EDA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Alazzawi Ursula EDA KEQ</dc:creator>
  <cp:lastModifiedBy>Huser Corinne EDA HCO</cp:lastModifiedBy>
  <cp:revision>2</cp:revision>
  <cp:lastPrinted>2017-10-26T07:58:00Z</cp:lastPrinted>
  <dcterms:created xsi:type="dcterms:W3CDTF">2024-01-18T16:50:00Z</dcterms:created>
  <dcterms:modified xsi:type="dcterms:W3CDTF">2024-01-18T16:50:00Z</dcterms:modified>
</cp:coreProperties>
</file>